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6" w:rsidRDefault="00ED6F06">
      <w:pPr>
        <w:pStyle w:val="Retraitcorpsdetexte"/>
        <w:tabs>
          <w:tab w:val="clear" w:pos="1260"/>
          <w:tab w:val="left" w:pos="0"/>
        </w:tabs>
        <w:ind w:left="0"/>
        <w:rPr>
          <w:b/>
          <w:bCs/>
          <w:color w:val="000080"/>
        </w:rPr>
      </w:pPr>
    </w:p>
    <w:p w:rsidR="00ED6F06" w:rsidRDefault="00ED6F06" w:rsidP="000E0E71">
      <w:pPr>
        <w:pStyle w:val="Retraitcorpsdetexte"/>
        <w:tabs>
          <w:tab w:val="clear" w:pos="1260"/>
          <w:tab w:val="left" w:pos="0"/>
        </w:tabs>
        <w:ind w:left="0"/>
        <w:jc w:val="center"/>
        <w:rPr>
          <w:b/>
          <w:bCs/>
          <w:color w:val="000080"/>
          <w:sz w:val="40"/>
          <w:szCs w:val="40"/>
        </w:rPr>
      </w:pPr>
    </w:p>
    <w:p w:rsidR="007A7B7C" w:rsidRPr="007A7B7C" w:rsidRDefault="007A7B7C" w:rsidP="007A7B7C">
      <w:pPr>
        <w:pStyle w:val="Retraitcorpsdetexte"/>
        <w:tabs>
          <w:tab w:val="clear" w:pos="1260"/>
          <w:tab w:val="left" w:pos="0"/>
        </w:tabs>
        <w:ind w:left="0"/>
        <w:jc w:val="center"/>
        <w:rPr>
          <w:b/>
          <w:bCs/>
          <w:color w:val="000080"/>
          <w:sz w:val="40"/>
          <w:szCs w:val="40"/>
        </w:rPr>
      </w:pPr>
      <w:bookmarkStart w:id="0" w:name="_Toc136163268"/>
      <w:bookmarkStart w:id="1" w:name="_Toc136767568"/>
      <w:bookmarkStart w:id="2" w:name="_Toc136767827"/>
      <w:bookmarkStart w:id="3" w:name="_Toc137011906"/>
      <w:bookmarkStart w:id="4" w:name="_Toc137035788"/>
      <w:bookmarkStart w:id="5" w:name="_Toc137039321"/>
      <w:bookmarkStart w:id="6" w:name="_Toc139855428"/>
      <w:bookmarkStart w:id="7" w:name="_Toc139868139"/>
      <w:bookmarkStart w:id="8" w:name="_Toc140303893"/>
      <w:bookmarkStart w:id="9" w:name="_Toc150320828"/>
      <w:bookmarkStart w:id="10" w:name="_Toc135465874"/>
      <w:bookmarkStart w:id="11" w:name="_Toc135466632"/>
      <w:bookmarkStart w:id="12" w:name="_Toc135808643"/>
      <w:bookmarkStart w:id="13" w:name="_Toc135808759"/>
      <w:bookmarkStart w:id="14" w:name="_Toc136065928"/>
      <w:bookmarkStart w:id="15" w:name="_Toc136066045"/>
      <w:r w:rsidRPr="007A7B7C">
        <w:rPr>
          <w:b/>
          <w:bCs/>
          <w:color w:val="000080"/>
          <w:sz w:val="40"/>
          <w:szCs w:val="40"/>
        </w:rPr>
        <w:t xml:space="preserve">TYPOLOGIE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A7B7C">
        <w:rPr>
          <w:b/>
          <w:bCs/>
          <w:color w:val="000080"/>
          <w:sz w:val="40"/>
          <w:szCs w:val="40"/>
        </w:rPr>
        <w:t>DES CONVENTIONS </w:t>
      </w:r>
      <w:bookmarkEnd w:id="10"/>
      <w:bookmarkEnd w:id="11"/>
      <w:bookmarkEnd w:id="12"/>
      <w:bookmarkEnd w:id="13"/>
      <w:bookmarkEnd w:id="14"/>
      <w:bookmarkEnd w:id="15"/>
      <w:r>
        <w:rPr>
          <w:b/>
          <w:bCs/>
          <w:color w:val="000080"/>
          <w:sz w:val="40"/>
          <w:szCs w:val="40"/>
        </w:rPr>
        <w:t xml:space="preserve">EN VIGUEUR </w:t>
      </w:r>
    </w:p>
    <w:p w:rsidR="007A7B7C" w:rsidRPr="007A7B7C" w:rsidRDefault="007A7B7C" w:rsidP="007A7B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</w:p>
    <w:p w:rsidR="007A7B7C" w:rsidRPr="007A7B7C" w:rsidRDefault="007A7B7C" w:rsidP="007A7B7C">
      <w:pPr>
        <w:pStyle w:val="Titre1"/>
        <w:rPr>
          <w:rFonts w:ascii="Calibri" w:hAnsi="Calibri" w:cs="Calibri"/>
          <w:lang w:val="fr-FR"/>
        </w:rPr>
      </w:pPr>
      <w:bookmarkStart w:id="16" w:name="_Toc135464237"/>
      <w:bookmarkStart w:id="17" w:name="_Toc135465876"/>
      <w:bookmarkStart w:id="18" w:name="_Toc135466634"/>
      <w:bookmarkStart w:id="19" w:name="_Toc135808645"/>
      <w:bookmarkStart w:id="20" w:name="_Toc135808761"/>
      <w:bookmarkStart w:id="21" w:name="_Toc136065930"/>
      <w:bookmarkStart w:id="22" w:name="_Toc136066047"/>
      <w:bookmarkStart w:id="23" w:name="_Toc136163270"/>
      <w:bookmarkStart w:id="24" w:name="_Toc136767570"/>
      <w:bookmarkStart w:id="25" w:name="_Toc136767829"/>
      <w:bookmarkStart w:id="26" w:name="_Toc137011908"/>
      <w:bookmarkStart w:id="27" w:name="_Toc137035790"/>
      <w:bookmarkStart w:id="28" w:name="_Toc137039323"/>
      <w:bookmarkStart w:id="29" w:name="_Toc139855430"/>
      <w:bookmarkStart w:id="30" w:name="_Toc139868141"/>
      <w:bookmarkStart w:id="31" w:name="_Toc140303895"/>
      <w:bookmarkStart w:id="32" w:name="_Toc150320830"/>
      <w:r w:rsidRPr="007A7B7C">
        <w:rPr>
          <w:rFonts w:ascii="Calibri" w:hAnsi="Calibri" w:cs="Calibri"/>
          <w:bCs w:val="0"/>
          <w:lang w:val="fr-FR"/>
        </w:rPr>
        <w:t>Conventions cadre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7A7B7C">
        <w:rPr>
          <w:rFonts w:ascii="Calibri" w:hAnsi="Calibri" w:cs="Calibri"/>
          <w:bCs w:val="0"/>
          <w:lang w:val="fr-FR"/>
        </w:rPr>
        <w:t> :</w:t>
      </w:r>
      <w:r w:rsidRPr="007A7B7C">
        <w:rPr>
          <w:rFonts w:ascii="Calibri" w:hAnsi="Calibri" w:cs="Calibri"/>
          <w:lang w:val="fr-FR"/>
        </w:rPr>
        <w:t xml:space="preserve"> </w:t>
      </w:r>
    </w:p>
    <w:p w:rsidR="007A7B7C" w:rsidRPr="007A7B7C" w:rsidRDefault="007A7B7C" w:rsidP="007A7B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</w:p>
    <w:p w:rsidR="007A7B7C" w:rsidRPr="007A7B7C" w:rsidRDefault="007A7B7C" w:rsidP="007A7B7C">
      <w:pPr>
        <w:jc w:val="both"/>
        <w:rPr>
          <w:rFonts w:ascii="Calibri" w:hAnsi="Calibri" w:cs="Calibri"/>
          <w:sz w:val="20"/>
          <w:szCs w:val="20"/>
          <w:lang w:val="fr-FR"/>
        </w:rPr>
      </w:pPr>
      <w:r w:rsidRPr="007A7B7C">
        <w:rPr>
          <w:rFonts w:ascii="Calibri" w:hAnsi="Calibri" w:cs="Calibri"/>
          <w:lang w:val="fr-FR"/>
        </w:rPr>
        <w:t>L'objectif du concept est d’autoriser un concessionnaire d’exploiter une activité commerciale sur plusieurs aéroports, aussi bien pour un aéroport à trafic important ou moindre.</w:t>
      </w:r>
    </w:p>
    <w:p w:rsidR="007A7B7C" w:rsidRPr="007A7B7C" w:rsidRDefault="007A7B7C" w:rsidP="007A7B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  <w:lang w:val="fr-FR"/>
        </w:rPr>
      </w:pPr>
    </w:p>
    <w:p w:rsidR="007A7B7C" w:rsidRPr="007A7B7C" w:rsidRDefault="007A7B7C" w:rsidP="007A7B7C">
      <w:pPr>
        <w:pStyle w:val="Titre1"/>
        <w:rPr>
          <w:rFonts w:ascii="Calibri" w:hAnsi="Calibri" w:cs="Calibri"/>
          <w:bCs w:val="0"/>
          <w:lang w:val="fr-FR"/>
        </w:rPr>
      </w:pPr>
      <w:r w:rsidRPr="007A7B7C">
        <w:rPr>
          <w:rFonts w:ascii="Calibri" w:hAnsi="Calibri" w:cs="Calibri"/>
          <w:bCs w:val="0"/>
          <w:lang w:val="fr-FR"/>
        </w:rPr>
        <w:t>Les conventions commerciales hors douane :</w:t>
      </w:r>
    </w:p>
    <w:p w:rsidR="007A7B7C" w:rsidRPr="007A7B7C" w:rsidRDefault="007A7B7C" w:rsidP="007A7B7C">
      <w:pPr>
        <w:rPr>
          <w:lang w:val="fr-FR"/>
        </w:rPr>
      </w:pPr>
    </w:p>
    <w:p w:rsidR="007A7B7C" w:rsidRPr="007A7B7C" w:rsidRDefault="007A7B7C" w:rsidP="007A7B7C">
      <w:pPr>
        <w:tabs>
          <w:tab w:val="left" w:pos="-851"/>
          <w:tab w:val="left" w:pos="432"/>
          <w:tab w:val="left" w:pos="86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Calibri" w:hAnsi="Calibri" w:cs="Calibri"/>
          <w:bCs/>
          <w:lang w:val="fr-FR"/>
        </w:rPr>
      </w:pPr>
      <w:r w:rsidRPr="007A7B7C">
        <w:rPr>
          <w:rFonts w:ascii="Calibri" w:hAnsi="Calibri" w:cs="Calibri"/>
          <w:bCs/>
          <w:lang w:val="fr-FR"/>
        </w:rPr>
        <w:t xml:space="preserve">Les conventions commerciales dites « Hors douane » concernent les activités exercées exclusivement en zone hors douane de l’aéroport. </w:t>
      </w:r>
    </w:p>
    <w:p w:rsidR="007A7B7C" w:rsidRPr="007A7B7C" w:rsidRDefault="007A7B7C" w:rsidP="007A7B7C">
      <w:pPr>
        <w:jc w:val="both"/>
        <w:rPr>
          <w:rFonts w:ascii="Calibri" w:hAnsi="Calibri" w:cs="Calibri"/>
          <w:lang w:val="fr-FR"/>
        </w:rPr>
      </w:pPr>
    </w:p>
    <w:p w:rsidR="007A7B7C" w:rsidRPr="007A7B7C" w:rsidRDefault="007A7B7C" w:rsidP="007A7B7C">
      <w:pPr>
        <w:pStyle w:val="Titre1"/>
        <w:rPr>
          <w:rFonts w:ascii="Calibri" w:hAnsi="Calibri" w:cs="Calibri"/>
          <w:lang w:val="fr-FR"/>
        </w:rPr>
      </w:pPr>
      <w:r w:rsidRPr="007A7B7C">
        <w:rPr>
          <w:rFonts w:ascii="Calibri" w:hAnsi="Calibri" w:cs="Calibri"/>
          <w:lang w:val="fr-FR"/>
        </w:rPr>
        <w:t xml:space="preserve">Les conventions commerciales sous douane : </w:t>
      </w:r>
    </w:p>
    <w:p w:rsidR="007A7B7C" w:rsidRPr="007A7B7C" w:rsidRDefault="007A7B7C" w:rsidP="007A7B7C">
      <w:pPr>
        <w:rPr>
          <w:lang w:val="fr-FR"/>
        </w:rPr>
      </w:pPr>
    </w:p>
    <w:p w:rsidR="007A7B7C" w:rsidRPr="007A7B7C" w:rsidRDefault="007A7B7C" w:rsidP="007A7B7C">
      <w:pPr>
        <w:jc w:val="both"/>
        <w:rPr>
          <w:rFonts w:ascii="Calibri" w:hAnsi="Calibri" w:cs="Calibri"/>
          <w:bCs/>
          <w:color w:val="FF0000"/>
          <w:lang w:val="fr-FR"/>
        </w:rPr>
      </w:pPr>
      <w:r w:rsidRPr="007A7B7C">
        <w:rPr>
          <w:lang w:val="fr-FR"/>
        </w:rPr>
        <w:t xml:space="preserve">Les conventions commerciales dites « Sous douane » concernent les locaux situés dans la zone sous douane de l’aéroport. </w:t>
      </w:r>
    </w:p>
    <w:p w:rsidR="007A7B7C" w:rsidRPr="007A7B7C" w:rsidRDefault="007A7B7C" w:rsidP="007A7B7C">
      <w:pPr>
        <w:pStyle w:val="Titre1"/>
        <w:rPr>
          <w:rFonts w:ascii="Calibri" w:hAnsi="Calibri" w:cs="Calibri"/>
          <w:b w:val="0"/>
          <w:lang w:val="fr-FR"/>
        </w:rPr>
      </w:pPr>
    </w:p>
    <w:p w:rsidR="007A7B7C" w:rsidRPr="007A7B7C" w:rsidRDefault="007A7B7C" w:rsidP="007A7B7C">
      <w:pPr>
        <w:pStyle w:val="Titre1"/>
        <w:rPr>
          <w:rFonts w:ascii="Calibri" w:hAnsi="Calibri" w:cs="Calibri"/>
          <w:bCs w:val="0"/>
          <w:lang w:val="fr-FR"/>
        </w:rPr>
      </w:pPr>
      <w:r w:rsidRPr="007A7B7C">
        <w:rPr>
          <w:rFonts w:ascii="Calibri" w:hAnsi="Calibri" w:cs="Calibri"/>
          <w:bCs w:val="0"/>
          <w:lang w:val="fr-FR"/>
        </w:rPr>
        <w:t>Les conventions de l’aéropole :</w:t>
      </w:r>
    </w:p>
    <w:p w:rsidR="007A7B7C" w:rsidRPr="007A7B7C" w:rsidRDefault="007A7B7C" w:rsidP="007A7B7C">
      <w:pPr>
        <w:rPr>
          <w:lang w:val="fr-FR"/>
        </w:rPr>
      </w:pPr>
    </w:p>
    <w:p w:rsidR="007A7B7C" w:rsidRPr="007A7B7C" w:rsidRDefault="007A7B7C" w:rsidP="007A7B7C">
      <w:pPr>
        <w:jc w:val="both"/>
        <w:rPr>
          <w:rFonts w:ascii="Calibri" w:hAnsi="Calibri" w:cs="Calibri"/>
          <w:bCs/>
          <w:lang w:val="fr-FR"/>
        </w:rPr>
      </w:pPr>
      <w:r w:rsidRPr="007A7B7C">
        <w:rPr>
          <w:rFonts w:ascii="Calibri" w:hAnsi="Calibri" w:cs="Calibri"/>
          <w:bCs/>
          <w:lang w:val="fr-FR"/>
        </w:rPr>
        <w:t xml:space="preserve">L’Office National des Aéroports met à la disposition des titulaires de conventions à l’Aéropôle, des terrains nus aménagés ou non aménagés à différents usages (industriel, commercial, activité de logistique, activité de formation, bâtiments prêts à l’emploi, activité hôtelière…etc), des hangars, des bureaux et des locaux. </w:t>
      </w:r>
    </w:p>
    <w:p w:rsidR="007A7B7C" w:rsidRPr="007A7B7C" w:rsidRDefault="007A7B7C" w:rsidP="007A7B7C">
      <w:pPr>
        <w:jc w:val="both"/>
        <w:rPr>
          <w:rFonts w:ascii="Calibri" w:hAnsi="Calibri" w:cs="Calibri"/>
          <w:bCs/>
          <w:lang w:val="fr-FR"/>
        </w:rPr>
      </w:pPr>
    </w:p>
    <w:p w:rsidR="007A7B7C" w:rsidRPr="007A7B7C" w:rsidRDefault="007A7B7C" w:rsidP="007A7B7C">
      <w:pPr>
        <w:jc w:val="both"/>
        <w:rPr>
          <w:rFonts w:ascii="Calibri" w:hAnsi="Calibri" w:cs="Calibri"/>
          <w:b/>
          <w:bCs/>
          <w:lang w:val="fr-FR"/>
        </w:rPr>
      </w:pPr>
      <w:r w:rsidRPr="007A7B7C">
        <w:rPr>
          <w:rFonts w:ascii="Calibri" w:hAnsi="Calibri" w:cs="Calibri"/>
          <w:b/>
          <w:bCs/>
          <w:lang w:val="fr-FR"/>
        </w:rPr>
        <w:t>Les conventions de fret ou Hors aérogare :</w:t>
      </w:r>
    </w:p>
    <w:p w:rsidR="007A7B7C" w:rsidRPr="007A7B7C" w:rsidRDefault="007A7B7C" w:rsidP="007A7B7C">
      <w:pPr>
        <w:jc w:val="both"/>
        <w:rPr>
          <w:rFonts w:ascii="Calibri" w:hAnsi="Calibri" w:cs="Calibri"/>
          <w:bCs/>
          <w:color w:val="FF0000"/>
          <w:lang w:val="fr-FR"/>
        </w:rPr>
      </w:pPr>
      <w:r w:rsidRPr="007A7B7C">
        <w:rPr>
          <w:rFonts w:ascii="Calibri" w:hAnsi="Calibri" w:cs="Calibri"/>
          <w:bCs/>
          <w:lang w:val="fr-FR"/>
        </w:rPr>
        <w:t>Ces conventions concernent les biens situés dans la zone fret, ainsi que ceux au niveau du périmètre aéroportuaire (Terrains, hangars, dépôts, bâtiments de servitude,….etc). </w:t>
      </w:r>
    </w:p>
    <w:p w:rsidR="004652DF" w:rsidRPr="00246313" w:rsidRDefault="004652DF" w:rsidP="00246313">
      <w:pPr>
        <w:pStyle w:val="Retraitcorpsdetexte"/>
        <w:tabs>
          <w:tab w:val="clear" w:pos="1260"/>
          <w:tab w:val="left" w:pos="0"/>
        </w:tabs>
        <w:ind w:left="0"/>
        <w:jc w:val="both"/>
      </w:pPr>
    </w:p>
    <w:sectPr w:rsidR="004652DF" w:rsidRPr="00246313">
      <w:headerReference w:type="default" r:id="rId7"/>
      <w:footerReference w:type="default" r:id="rId8"/>
      <w:pgSz w:w="11906" w:h="16838"/>
      <w:pgMar w:top="306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87" w:rsidRDefault="009D5187">
      <w:r>
        <w:separator/>
      </w:r>
    </w:p>
  </w:endnote>
  <w:endnote w:type="continuationSeparator" w:id="0">
    <w:p w:rsidR="009D5187" w:rsidRDefault="009D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39" w:rsidRDefault="00803F39">
    <w:pPr>
      <w:jc w:val="right"/>
      <w:rPr>
        <w:b/>
        <w:bCs/>
      </w:rPr>
    </w:pPr>
  </w:p>
  <w:p w:rsidR="00803F39" w:rsidRDefault="00803F39">
    <w:pPr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 w:hint="cs"/>
        <w:noProof/>
        <w:color w:val="999999"/>
        <w:sz w:val="20"/>
        <w:szCs w:val="20"/>
        <w:rtl/>
      </w:rPr>
      <w:pict>
        <v:line id="_x0000_s2050" style="position:absolute;z-index:251657728" from="0,10.6pt" to="459pt,10.6pt" strokecolor="#036" strokeweight="1.75pt"/>
      </w:pict>
    </w:r>
  </w:p>
  <w:p w:rsidR="00803F39" w:rsidRDefault="00803F39">
    <w:pPr>
      <w:rPr>
        <w:rFonts w:ascii="Arial" w:hAnsi="Arial" w:cs="Arial" w:hint="cs"/>
        <w:color w:val="999999"/>
        <w:sz w:val="20"/>
        <w:szCs w:val="20"/>
        <w:rtl/>
      </w:rPr>
    </w:pPr>
  </w:p>
  <w:p w:rsidR="00803F39" w:rsidRDefault="00803F39">
    <w:pPr>
      <w:jc w:val="center"/>
      <w:rPr>
        <w:rFonts w:ascii="Arial" w:hAnsi="Arial" w:cs="Arial" w:hint="cs"/>
        <w:color w:val="999999"/>
        <w:sz w:val="18"/>
        <w:szCs w:val="18"/>
        <w:rtl/>
      </w:rPr>
    </w:pPr>
    <w:r>
      <w:rPr>
        <w:rFonts w:ascii="Arial" w:hAnsi="Arial" w:cs="Arial" w:hint="cs"/>
        <w:color w:val="999999"/>
        <w:sz w:val="18"/>
        <w:szCs w:val="18"/>
        <w:rtl/>
      </w:rPr>
      <w:t>المكتب الوطني للمطارات</w:t>
    </w:r>
    <w:r>
      <w:rPr>
        <w:rFonts w:ascii="Arial" w:hAnsi="Arial" w:cs="Arial" w:hint="cs"/>
        <w:color w:val="999999"/>
        <w:sz w:val="18"/>
        <w:szCs w:val="18"/>
        <w:rtl/>
        <w:lang w:bidi="ar-MA"/>
      </w:rPr>
      <w:t>-</w:t>
    </w:r>
    <w:r>
      <w:rPr>
        <w:rFonts w:ascii="Arial" w:hAnsi="Arial" w:cs="Arial" w:hint="cs"/>
        <w:color w:val="999999"/>
        <w:sz w:val="18"/>
        <w:szCs w:val="18"/>
        <w:rtl/>
      </w:rPr>
      <w:t xml:space="preserve"> -النواصر-المغرب-الهاتف : 63-78-43-022 الفاكس : 33-79-43-022</w:t>
    </w:r>
  </w:p>
  <w:p w:rsidR="00803F39" w:rsidRDefault="00803F39">
    <w:pPr>
      <w:jc w:val="center"/>
      <w:rPr>
        <w:rFonts w:ascii="Arial" w:hAnsi="Arial" w:cs="Arial" w:hint="cs"/>
        <w:color w:val="999999"/>
        <w:sz w:val="18"/>
        <w:szCs w:val="18"/>
        <w:rtl/>
      </w:rPr>
    </w:pPr>
    <w:r>
      <w:rPr>
        <w:rFonts w:ascii="Arial" w:hAnsi="Arial" w:cs="Arial"/>
        <w:color w:val="999999"/>
        <w:sz w:val="18"/>
        <w:szCs w:val="18"/>
      </w:rPr>
      <w:t>Office National Des Aéroports – Nouaceur – Maroc- Tél. : 022-43-78-63 – Fax : 022-43-79-33</w:t>
    </w:r>
  </w:p>
  <w:p w:rsidR="00803F39" w:rsidRDefault="00803F39">
    <w:pPr>
      <w:jc w:val="center"/>
      <w:rPr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www.onda.ma</w:t>
    </w:r>
  </w:p>
  <w:p w:rsidR="00803F39" w:rsidRDefault="00803F39">
    <w:pPr>
      <w:jc w:val="center"/>
      <w:rPr>
        <w:sz w:val="18"/>
        <w:szCs w:val="18"/>
      </w:rPr>
    </w:pPr>
  </w:p>
  <w:p w:rsidR="00803F39" w:rsidRDefault="00803F39">
    <w:pPr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bCs/>
            <w:sz w:val="22"/>
            <w:szCs w:val="22"/>
            <w:shd w:val="clear" w:color="auto" w:fill="003366"/>
          </w:rPr>
          <w:t>Call</w:t>
        </w:r>
      </w:smartTag>
      <w:r>
        <w:rPr>
          <w:rFonts w:ascii="Arial" w:hAnsi="Arial" w:cs="Arial"/>
          <w:b/>
          <w:bCs/>
          <w:sz w:val="22"/>
          <w:szCs w:val="22"/>
          <w:shd w:val="clear" w:color="auto" w:fill="00336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  <w:szCs w:val="22"/>
            <w:shd w:val="clear" w:color="auto" w:fill="003366"/>
          </w:rPr>
          <w:t>Center</w:t>
        </w:r>
      </w:smartTag>
    </w:smartTag>
    <w:r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color w:val="FFFFFF"/>
        <w:sz w:val="22"/>
        <w:szCs w:val="22"/>
        <w:shd w:val="clear" w:color="auto" w:fill="C0C0C0"/>
      </w:rPr>
      <w:t>081 000 224</w:t>
    </w:r>
  </w:p>
  <w:p w:rsidR="00803F39" w:rsidRDefault="00803F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87" w:rsidRDefault="009D5187">
      <w:r>
        <w:separator/>
      </w:r>
    </w:p>
  </w:footnote>
  <w:footnote w:type="continuationSeparator" w:id="0">
    <w:p w:rsidR="009D5187" w:rsidRDefault="009D5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39" w:rsidRDefault="007A7B7C">
    <w:pPr>
      <w:pStyle w:val="En-tte"/>
    </w:pPr>
    <w:r>
      <w:rPr>
        <w:noProof/>
        <w:lang w:val="fr-FR"/>
      </w:rPr>
      <w:drawing>
        <wp:inline distT="0" distB="0" distL="0" distR="0">
          <wp:extent cx="5715000" cy="508000"/>
          <wp:effectExtent l="19050" t="0" r="0" b="0"/>
          <wp:docPr id="1" name="Image 1" descr="Logo ONDA Modifi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NDA Modifi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F39" w:rsidRDefault="00803F39">
    <w:pPr>
      <w:pStyle w:val="En-tte"/>
      <w:jc w:val="center"/>
      <w:rPr>
        <w:sz w:val="28"/>
        <w:szCs w:val="28"/>
      </w:rPr>
    </w:pPr>
  </w:p>
  <w:p w:rsidR="00803F39" w:rsidRDefault="00803F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A20"/>
    <w:multiLevelType w:val="hybridMultilevel"/>
    <w:tmpl w:val="E5FEFCA8"/>
    <w:lvl w:ilvl="0" w:tplc="1BA4A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421E4"/>
    <w:multiLevelType w:val="hybridMultilevel"/>
    <w:tmpl w:val="A78C4212"/>
    <w:lvl w:ilvl="0" w:tplc="F5DED124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63900"/>
    <w:multiLevelType w:val="hybridMultilevel"/>
    <w:tmpl w:val="CB70120E"/>
    <w:lvl w:ilvl="0" w:tplc="F5DED124">
      <w:start w:val="1"/>
      <w:numFmt w:val="bullet"/>
      <w:lvlText w:val="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9E640DD"/>
    <w:multiLevelType w:val="hybridMultilevel"/>
    <w:tmpl w:val="5C2A2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453D"/>
    <w:multiLevelType w:val="hybridMultilevel"/>
    <w:tmpl w:val="E5FEF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D70C0"/>
    <w:multiLevelType w:val="hybridMultilevel"/>
    <w:tmpl w:val="8606F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125D8"/>
    <w:multiLevelType w:val="hybridMultilevel"/>
    <w:tmpl w:val="BD52A98A"/>
    <w:lvl w:ilvl="0" w:tplc="F5DED124">
      <w:start w:val="1"/>
      <w:numFmt w:val="bullet"/>
      <w:lvlText w:val="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53CA8"/>
    <w:multiLevelType w:val="hybridMultilevel"/>
    <w:tmpl w:val="913652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D44DC"/>
    <w:multiLevelType w:val="hybridMultilevel"/>
    <w:tmpl w:val="BD52A98A"/>
    <w:lvl w:ilvl="0" w:tplc="1BA4A14E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E0501"/>
    <w:multiLevelType w:val="hybridMultilevel"/>
    <w:tmpl w:val="2BAA7E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E0F1C"/>
    <w:multiLevelType w:val="hybridMultilevel"/>
    <w:tmpl w:val="CD6074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C57FF7"/>
    <w:multiLevelType w:val="hybridMultilevel"/>
    <w:tmpl w:val="144C2E7A"/>
    <w:lvl w:ilvl="0" w:tplc="1BA4A14E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E71"/>
    <w:rsid w:val="00022BC0"/>
    <w:rsid w:val="000350A4"/>
    <w:rsid w:val="0004753A"/>
    <w:rsid w:val="00095F8F"/>
    <w:rsid w:val="000B35D8"/>
    <w:rsid w:val="000C125F"/>
    <w:rsid w:val="000E0E71"/>
    <w:rsid w:val="00123D9B"/>
    <w:rsid w:val="00173285"/>
    <w:rsid w:val="001D16E9"/>
    <w:rsid w:val="00202E77"/>
    <w:rsid w:val="00246313"/>
    <w:rsid w:val="002766A8"/>
    <w:rsid w:val="002B47F5"/>
    <w:rsid w:val="002C1281"/>
    <w:rsid w:val="002E5465"/>
    <w:rsid w:val="002F530C"/>
    <w:rsid w:val="00345F3E"/>
    <w:rsid w:val="003A78C0"/>
    <w:rsid w:val="003E3C35"/>
    <w:rsid w:val="004652DF"/>
    <w:rsid w:val="004714F5"/>
    <w:rsid w:val="00486237"/>
    <w:rsid w:val="004A058B"/>
    <w:rsid w:val="004B36E6"/>
    <w:rsid w:val="004D6B73"/>
    <w:rsid w:val="004E02F8"/>
    <w:rsid w:val="00563A29"/>
    <w:rsid w:val="00570D61"/>
    <w:rsid w:val="0058482A"/>
    <w:rsid w:val="005D6FB0"/>
    <w:rsid w:val="006E3ED6"/>
    <w:rsid w:val="00725459"/>
    <w:rsid w:val="00787044"/>
    <w:rsid w:val="00793D7A"/>
    <w:rsid w:val="007A7B7C"/>
    <w:rsid w:val="00803F39"/>
    <w:rsid w:val="0084526D"/>
    <w:rsid w:val="008918EF"/>
    <w:rsid w:val="0093045D"/>
    <w:rsid w:val="0096317D"/>
    <w:rsid w:val="009942FE"/>
    <w:rsid w:val="009A1237"/>
    <w:rsid w:val="009D5187"/>
    <w:rsid w:val="009D65C0"/>
    <w:rsid w:val="00A05770"/>
    <w:rsid w:val="00AD4FD5"/>
    <w:rsid w:val="00BF79A4"/>
    <w:rsid w:val="00C16DA6"/>
    <w:rsid w:val="00C25B47"/>
    <w:rsid w:val="00D92F6B"/>
    <w:rsid w:val="00DC09E0"/>
    <w:rsid w:val="00DC6699"/>
    <w:rsid w:val="00E151D3"/>
    <w:rsid w:val="00E47A30"/>
    <w:rsid w:val="00E91405"/>
    <w:rsid w:val="00ED6F06"/>
    <w:rsid w:val="00F2385D"/>
    <w:rsid w:val="00F6407F"/>
    <w:rsid w:val="00F86909"/>
    <w:rsid w:val="00FC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A7B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 w:cs="Courier New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 Antiqua" w:hAnsi="Book Antiqua" w:cs="Arial"/>
      <w:b/>
      <w:bCs/>
      <w:color w:val="000080"/>
      <w:sz w:val="28"/>
      <w:szCs w:val="28"/>
      <w:lang w:val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color w:val="000080"/>
      <w:lang w:val="fr-FR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 w:cs="Courier New"/>
      <w:b/>
      <w:bCs/>
      <w:sz w:val="22"/>
      <w:szCs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jc w:val="center"/>
    </w:pPr>
    <w:rPr>
      <w:rFonts w:ascii="Book Antiqua" w:hAnsi="Book Antiqua"/>
      <w:b/>
      <w:bCs/>
      <w:sz w:val="32"/>
      <w:szCs w:val="32"/>
      <w:lang w:val="fr-FR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  <w:color w:val="00000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Book Antiqua" w:hAnsi="Book Antiqua" w:cs="Arial"/>
      <w:b/>
      <w:bCs/>
      <w:color w:val="000080"/>
      <w:sz w:val="32"/>
      <w:szCs w:val="32"/>
      <w:lang w:val="fr-FR"/>
    </w:rPr>
  </w:style>
  <w:style w:type="paragraph" w:styleId="Retraitcorpsdetexte">
    <w:name w:val="Body Text Indent"/>
    <w:basedOn w:val="Normal"/>
    <w:pPr>
      <w:tabs>
        <w:tab w:val="left" w:pos="1260"/>
      </w:tabs>
      <w:ind w:left="1260"/>
    </w:pPr>
    <w:rPr>
      <w:rFonts w:ascii="Book Antiqua" w:hAnsi="Book Antiqua"/>
      <w:lang w:val="fr-FR"/>
    </w:rPr>
  </w:style>
  <w:style w:type="character" w:styleId="Lienhypertexte">
    <w:name w:val="Hyperlink"/>
    <w:basedOn w:val="Policepardfaut"/>
    <w:rsid w:val="002766A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A7B7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visite royale</vt:lpstr>
    </vt:vector>
  </TitlesOfParts>
  <Company>onda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visite royale</dc:title>
  <dc:subject/>
  <dc:creator>z.ouldelmaalem</dc:creator>
  <cp:keywords/>
  <dc:description/>
  <cp:lastModifiedBy>j.bekkali</cp:lastModifiedBy>
  <cp:revision>2</cp:revision>
  <cp:lastPrinted>2007-03-20T16:13:00Z</cp:lastPrinted>
  <dcterms:created xsi:type="dcterms:W3CDTF">2013-08-01T09:52:00Z</dcterms:created>
  <dcterms:modified xsi:type="dcterms:W3CDTF">2013-08-01T09:52:00Z</dcterms:modified>
</cp:coreProperties>
</file>