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06" w:rsidRDefault="00ED6F06">
      <w:pPr>
        <w:pStyle w:val="Retraitcorpsdetexte"/>
        <w:tabs>
          <w:tab w:val="clear" w:pos="1260"/>
          <w:tab w:val="left" w:pos="0"/>
        </w:tabs>
        <w:ind w:left="0"/>
        <w:rPr>
          <w:b/>
          <w:bCs/>
          <w:color w:val="000080"/>
        </w:rPr>
      </w:pPr>
    </w:p>
    <w:p w:rsidR="00ED6F06" w:rsidRDefault="00ED6F06" w:rsidP="000E0E71">
      <w:pPr>
        <w:pStyle w:val="Retraitcorpsdetexte"/>
        <w:tabs>
          <w:tab w:val="clear" w:pos="1260"/>
          <w:tab w:val="left" w:pos="0"/>
        </w:tabs>
        <w:ind w:left="0"/>
        <w:jc w:val="center"/>
        <w:rPr>
          <w:b/>
          <w:bCs/>
          <w:color w:val="000080"/>
          <w:sz w:val="40"/>
          <w:szCs w:val="40"/>
        </w:rPr>
      </w:pPr>
    </w:p>
    <w:p w:rsidR="00D73FC8" w:rsidRPr="00677358" w:rsidRDefault="00D73FC8" w:rsidP="00677358">
      <w:pPr>
        <w:pStyle w:val="Retraitcorpsdetexte"/>
        <w:tabs>
          <w:tab w:val="clear" w:pos="1260"/>
          <w:tab w:val="left" w:pos="0"/>
        </w:tabs>
        <w:ind w:left="0"/>
        <w:jc w:val="center"/>
        <w:rPr>
          <w:b/>
          <w:bCs/>
          <w:color w:val="000080"/>
          <w:sz w:val="40"/>
          <w:szCs w:val="40"/>
        </w:rPr>
      </w:pPr>
    </w:p>
    <w:p w:rsidR="00677358" w:rsidRPr="00677358" w:rsidRDefault="00677358" w:rsidP="00677358">
      <w:pPr>
        <w:pStyle w:val="Retraitcorpsdetexte"/>
        <w:tabs>
          <w:tab w:val="clear" w:pos="1260"/>
          <w:tab w:val="left" w:pos="0"/>
        </w:tabs>
        <w:ind w:left="0"/>
        <w:jc w:val="center"/>
        <w:rPr>
          <w:b/>
          <w:bCs/>
          <w:color w:val="000080"/>
          <w:sz w:val="40"/>
          <w:szCs w:val="40"/>
        </w:rPr>
      </w:pPr>
      <w:r>
        <w:rPr>
          <w:b/>
          <w:bCs/>
          <w:color w:val="000080"/>
          <w:sz w:val="40"/>
          <w:szCs w:val="40"/>
        </w:rPr>
        <w:t>TYPOLOGIE DES CONVENTIONS </w:t>
      </w:r>
      <w:r w:rsidRPr="00677358">
        <w:rPr>
          <w:b/>
          <w:bCs/>
          <w:color w:val="000080"/>
          <w:sz w:val="40"/>
          <w:szCs w:val="40"/>
        </w:rPr>
        <w:t>SELON LE TYPE DES REDEVANCES</w:t>
      </w:r>
      <w:r>
        <w:rPr>
          <w:b/>
          <w:bCs/>
          <w:color w:val="000080"/>
          <w:sz w:val="40"/>
          <w:szCs w:val="40"/>
        </w:rPr>
        <w:t> </w:t>
      </w:r>
    </w:p>
    <w:p w:rsidR="00677358" w:rsidRPr="00677358" w:rsidRDefault="00677358" w:rsidP="00677358">
      <w:pPr>
        <w:jc w:val="both"/>
        <w:rPr>
          <w:rFonts w:ascii="Calibri" w:hAnsi="Calibri" w:cs="Calibri"/>
          <w:lang w:val="fr-FR"/>
        </w:rPr>
      </w:pPr>
    </w:p>
    <w:p w:rsidR="00677358" w:rsidRDefault="00677358" w:rsidP="00677358">
      <w:pPr>
        <w:jc w:val="both"/>
        <w:rPr>
          <w:rFonts w:ascii="Calibri" w:hAnsi="Calibri" w:cs="Calibri"/>
          <w:lang w:val="fr-FR"/>
        </w:rPr>
      </w:pPr>
    </w:p>
    <w:p w:rsidR="00677358" w:rsidRPr="00677358" w:rsidRDefault="00677358" w:rsidP="00677358">
      <w:pPr>
        <w:jc w:val="both"/>
        <w:rPr>
          <w:rFonts w:ascii="Calibri" w:hAnsi="Calibri" w:cs="Calibri"/>
          <w:lang w:val="fr-FR"/>
        </w:rPr>
      </w:pPr>
      <w:r w:rsidRPr="00677358">
        <w:rPr>
          <w:rFonts w:ascii="Calibri" w:hAnsi="Calibri" w:cs="Calibri"/>
          <w:lang w:val="fr-FR"/>
        </w:rPr>
        <w:t>Une convention peut générer :</w:t>
      </w:r>
    </w:p>
    <w:p w:rsidR="00677358" w:rsidRPr="00677358" w:rsidRDefault="00677358" w:rsidP="00677358">
      <w:pPr>
        <w:spacing w:before="120"/>
        <w:ind w:left="1077"/>
        <w:jc w:val="both"/>
        <w:rPr>
          <w:rFonts w:ascii="Calibri" w:hAnsi="Calibri" w:cs="Calibri"/>
          <w:lang w:val="fr-FR"/>
        </w:rPr>
      </w:pPr>
      <w:r w:rsidRPr="00677358">
        <w:rPr>
          <w:rFonts w:ascii="Calibri" w:hAnsi="Calibri" w:cs="Calibri"/>
          <w:lang w:val="fr-FR"/>
        </w:rPr>
        <w:t>- des redevances domaniale et commerciale forfaitaire ;</w:t>
      </w:r>
    </w:p>
    <w:p w:rsidR="00677358" w:rsidRPr="00677358" w:rsidRDefault="00677358" w:rsidP="00677358">
      <w:pPr>
        <w:spacing w:before="120"/>
        <w:ind w:left="1077"/>
        <w:jc w:val="both"/>
        <w:rPr>
          <w:rFonts w:ascii="Calibri" w:hAnsi="Calibri" w:cs="Calibri"/>
          <w:b/>
          <w:bCs/>
          <w:sz w:val="20"/>
          <w:szCs w:val="20"/>
          <w:lang w:val="fr-FR"/>
        </w:rPr>
      </w:pPr>
      <w:r w:rsidRPr="00677358">
        <w:rPr>
          <w:rFonts w:ascii="Calibri" w:hAnsi="Calibri" w:cs="Calibri"/>
          <w:lang w:val="fr-FR"/>
        </w:rPr>
        <w:t>- des redevances domaniale et commerciale variable ;</w:t>
      </w:r>
    </w:p>
    <w:p w:rsidR="00677358" w:rsidRPr="00677358" w:rsidRDefault="00677358" w:rsidP="00677358">
      <w:pPr>
        <w:spacing w:before="120"/>
        <w:ind w:left="1077"/>
        <w:jc w:val="both"/>
        <w:rPr>
          <w:rFonts w:ascii="Calibri" w:hAnsi="Calibri" w:cs="Calibri"/>
          <w:lang w:val="fr-FR"/>
        </w:rPr>
      </w:pPr>
      <w:r w:rsidRPr="00677358">
        <w:rPr>
          <w:rFonts w:ascii="Calibri" w:hAnsi="Calibri" w:cs="Calibri"/>
          <w:lang w:val="fr-FR"/>
        </w:rPr>
        <w:t>- Uniquement des redevances domaniales.</w:t>
      </w:r>
    </w:p>
    <w:p w:rsidR="00677358" w:rsidRPr="00677358" w:rsidRDefault="00677358" w:rsidP="00677358">
      <w:pPr>
        <w:jc w:val="both"/>
        <w:rPr>
          <w:rFonts w:ascii="Calibri" w:hAnsi="Calibri" w:cs="Calibri"/>
          <w:lang w:val="fr-FR"/>
        </w:rPr>
      </w:pPr>
    </w:p>
    <w:p w:rsidR="00677358" w:rsidRPr="00677358" w:rsidRDefault="00677358" w:rsidP="00677358">
      <w:pPr>
        <w:pStyle w:val="Titre1"/>
        <w:rPr>
          <w:rFonts w:ascii="Calibri" w:hAnsi="Calibri" w:cs="Calibri"/>
          <w:lang w:val="fr-FR"/>
        </w:rPr>
      </w:pPr>
      <w:r w:rsidRPr="00677358">
        <w:rPr>
          <w:rFonts w:ascii="Calibri" w:hAnsi="Calibri" w:cs="Calibri"/>
          <w:bCs w:val="0"/>
          <w:lang w:val="fr-FR"/>
        </w:rPr>
        <w:t xml:space="preserve">Convention à base de </w:t>
      </w:r>
      <w:r w:rsidRPr="00677358">
        <w:rPr>
          <w:rFonts w:ascii="Calibri" w:hAnsi="Calibri" w:cs="Calibri"/>
          <w:lang w:val="fr-FR"/>
        </w:rPr>
        <w:t>redevances domaniale et commerciale forfaitaire</w:t>
      </w:r>
    </w:p>
    <w:p w:rsidR="00677358" w:rsidRPr="00677358" w:rsidRDefault="00677358" w:rsidP="00677358">
      <w:pPr>
        <w:rPr>
          <w:lang w:val="fr-FR"/>
        </w:rPr>
      </w:pPr>
    </w:p>
    <w:p w:rsidR="00677358" w:rsidRPr="00677358" w:rsidRDefault="00677358" w:rsidP="00677358">
      <w:pPr>
        <w:jc w:val="both"/>
        <w:rPr>
          <w:rFonts w:ascii="Calibri" w:hAnsi="Calibri" w:cs="Calibri"/>
          <w:bCs/>
          <w:lang w:val="fr-FR"/>
        </w:rPr>
      </w:pPr>
      <w:r w:rsidRPr="00677358">
        <w:rPr>
          <w:rFonts w:ascii="Calibri" w:hAnsi="Calibri" w:cs="Calibri"/>
          <w:bCs/>
          <w:lang w:val="fr-FR"/>
        </w:rPr>
        <w:t>Les conventions à base de redevances domaniale et commerciale forfaitaire sont des contrats en vertu desquels, le titulaire est assujetti à :</w:t>
      </w:r>
    </w:p>
    <w:p w:rsidR="00677358" w:rsidRPr="00677358" w:rsidRDefault="00677358" w:rsidP="00677358">
      <w:pPr>
        <w:jc w:val="both"/>
        <w:rPr>
          <w:rFonts w:ascii="Calibri" w:hAnsi="Calibri" w:cs="Calibri"/>
          <w:bCs/>
          <w:lang w:val="fr-FR"/>
        </w:rPr>
      </w:pPr>
    </w:p>
    <w:p w:rsidR="00677358" w:rsidRPr="00677358" w:rsidRDefault="00677358" w:rsidP="00677358">
      <w:pPr>
        <w:numPr>
          <w:ilvl w:val="0"/>
          <w:numId w:val="14"/>
        </w:numPr>
        <w:jc w:val="both"/>
        <w:rPr>
          <w:rFonts w:ascii="Calibri" w:hAnsi="Calibri" w:cs="Calibri"/>
          <w:bCs/>
          <w:lang w:val="fr-FR"/>
        </w:rPr>
      </w:pPr>
      <w:r w:rsidRPr="00677358">
        <w:rPr>
          <w:rFonts w:ascii="Calibri" w:hAnsi="Calibri" w:cs="Calibri"/>
          <w:bCs/>
          <w:lang w:val="fr-FR"/>
        </w:rPr>
        <w:t>une redevance domaniale calculée sur la base du taux en vigueur DH/HT/M²/AN multiplié par la superficie du bien occupé ;</w:t>
      </w:r>
    </w:p>
    <w:p w:rsidR="00677358" w:rsidRPr="00677358" w:rsidRDefault="00677358" w:rsidP="00677358">
      <w:pPr>
        <w:ind w:left="360"/>
        <w:jc w:val="both"/>
        <w:rPr>
          <w:rFonts w:ascii="Calibri" w:hAnsi="Calibri" w:cs="Calibri"/>
          <w:bCs/>
          <w:sz w:val="16"/>
          <w:szCs w:val="16"/>
          <w:lang w:val="fr-FR"/>
        </w:rPr>
      </w:pPr>
    </w:p>
    <w:p w:rsidR="00677358" w:rsidRPr="00677358" w:rsidRDefault="00677358" w:rsidP="00677358">
      <w:pPr>
        <w:numPr>
          <w:ilvl w:val="0"/>
          <w:numId w:val="14"/>
        </w:numPr>
        <w:jc w:val="both"/>
        <w:rPr>
          <w:rFonts w:ascii="Calibri" w:hAnsi="Calibri" w:cs="Calibri"/>
          <w:bCs/>
          <w:lang w:val="fr-FR"/>
        </w:rPr>
      </w:pPr>
      <w:r w:rsidRPr="00677358">
        <w:rPr>
          <w:rFonts w:ascii="Calibri" w:hAnsi="Calibri" w:cs="Calibri"/>
          <w:bCs/>
          <w:lang w:val="fr-FR"/>
        </w:rPr>
        <w:t xml:space="preserve">et une redevance commerciale forfaitaire, dite également fixe, pré-établie en DH/HT/AN sans tenir compte du chiffre d’affaires réalisé par le concessionnaire. </w:t>
      </w:r>
    </w:p>
    <w:p w:rsidR="00677358" w:rsidRPr="00677358" w:rsidRDefault="00677358" w:rsidP="00677358">
      <w:pPr>
        <w:pStyle w:val="Titre1"/>
        <w:rPr>
          <w:rFonts w:ascii="Calibri" w:hAnsi="Calibri" w:cs="Calibri"/>
          <w:lang w:val="fr-FR"/>
        </w:rPr>
      </w:pPr>
      <w:bookmarkStart w:id="0" w:name="_Toc135465883"/>
      <w:bookmarkStart w:id="1" w:name="_Toc135466641"/>
      <w:bookmarkStart w:id="2" w:name="_Toc135808652"/>
      <w:bookmarkStart w:id="3" w:name="_Toc135808768"/>
      <w:bookmarkStart w:id="4" w:name="_Toc136065937"/>
      <w:bookmarkStart w:id="5" w:name="_Toc136066054"/>
      <w:bookmarkStart w:id="6" w:name="_Toc136163277"/>
      <w:bookmarkStart w:id="7" w:name="_Toc136767577"/>
      <w:bookmarkStart w:id="8" w:name="_Toc136767837"/>
      <w:bookmarkStart w:id="9" w:name="_Toc137011916"/>
      <w:bookmarkStart w:id="10" w:name="_Toc137035798"/>
      <w:bookmarkStart w:id="11" w:name="_Toc137039331"/>
      <w:bookmarkStart w:id="12" w:name="_Toc139855438"/>
      <w:bookmarkStart w:id="13" w:name="_Toc139868149"/>
      <w:bookmarkStart w:id="14" w:name="_Toc140303903"/>
      <w:bookmarkStart w:id="15" w:name="_Toc150320838"/>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677358" w:rsidRPr="00677358" w:rsidRDefault="00677358" w:rsidP="00677358">
      <w:pPr>
        <w:pStyle w:val="Titre1"/>
        <w:rPr>
          <w:rFonts w:ascii="Calibri" w:hAnsi="Calibri" w:cs="Calibri"/>
          <w:lang w:val="fr-FR"/>
        </w:rPr>
      </w:pPr>
      <w:r w:rsidRPr="00677358">
        <w:rPr>
          <w:rFonts w:ascii="Calibri" w:hAnsi="Calibri" w:cs="Calibri"/>
          <w:bCs w:val="0"/>
          <w:lang w:val="fr-FR"/>
        </w:rPr>
        <w:t xml:space="preserve">Convention à base de </w:t>
      </w:r>
      <w:r w:rsidRPr="00677358">
        <w:rPr>
          <w:rFonts w:ascii="Calibri" w:hAnsi="Calibri" w:cs="Calibri"/>
          <w:lang w:val="fr-FR"/>
        </w:rPr>
        <w:t>redevances domaniale et commerciale variable</w:t>
      </w:r>
    </w:p>
    <w:p w:rsidR="00677358" w:rsidRPr="00677358" w:rsidRDefault="00677358" w:rsidP="00677358">
      <w:pPr>
        <w:pStyle w:val="Titre1"/>
        <w:rPr>
          <w:rFonts w:ascii="Calibri" w:hAnsi="Calibri" w:cs="Calibri"/>
          <w:b w:val="0"/>
          <w:bCs w:val="0"/>
          <w:lang w:val="fr-FR"/>
        </w:rPr>
      </w:pPr>
    </w:p>
    <w:p w:rsidR="00677358" w:rsidRPr="00677358" w:rsidRDefault="00677358" w:rsidP="00677358">
      <w:pPr>
        <w:pStyle w:val="Titre1"/>
        <w:rPr>
          <w:rFonts w:ascii="Calibri" w:hAnsi="Calibri" w:cs="Calibri"/>
          <w:lang w:val="fr-FR"/>
        </w:rPr>
      </w:pPr>
      <w:r w:rsidRPr="00677358">
        <w:rPr>
          <w:rFonts w:ascii="Calibri" w:hAnsi="Calibri" w:cs="Calibri"/>
          <w:b w:val="0"/>
          <w:bCs w:val="0"/>
          <w:lang w:val="fr-FR"/>
        </w:rPr>
        <w:t xml:space="preserve">Les conventions à base de </w:t>
      </w:r>
      <w:r w:rsidRPr="00677358">
        <w:rPr>
          <w:rFonts w:ascii="Calibri" w:hAnsi="Calibri" w:cs="Calibri"/>
          <w:b w:val="0"/>
          <w:lang w:val="fr-FR"/>
        </w:rPr>
        <w:t xml:space="preserve">redevances domaniale et commerciale variable sont des contrats en vertu desquels, le Titulaire est assujetti à : </w:t>
      </w:r>
    </w:p>
    <w:p w:rsidR="00677358" w:rsidRPr="00677358" w:rsidRDefault="00677358" w:rsidP="00677358">
      <w:pPr>
        <w:jc w:val="both"/>
        <w:rPr>
          <w:rFonts w:ascii="Calibri" w:hAnsi="Calibri" w:cs="Calibri"/>
          <w:bCs/>
          <w:color w:val="FF0000"/>
          <w:lang w:val="fr-FR"/>
        </w:rPr>
      </w:pPr>
    </w:p>
    <w:p w:rsidR="00677358" w:rsidRPr="00677358" w:rsidRDefault="00677358" w:rsidP="00677358">
      <w:pPr>
        <w:numPr>
          <w:ilvl w:val="0"/>
          <w:numId w:val="14"/>
        </w:numPr>
        <w:jc w:val="both"/>
        <w:rPr>
          <w:rFonts w:ascii="Calibri" w:hAnsi="Calibri" w:cs="Calibri"/>
          <w:bCs/>
          <w:lang w:val="fr-FR"/>
        </w:rPr>
      </w:pPr>
      <w:r w:rsidRPr="00677358">
        <w:rPr>
          <w:rFonts w:ascii="Calibri" w:hAnsi="Calibri" w:cs="Calibri"/>
          <w:bCs/>
          <w:lang w:val="fr-FR"/>
        </w:rPr>
        <w:t>une redevance domaniale calculée sur la base du taux en vigueur DH/HT/M²/AN multiplié par la superficie du bien occupé ;</w:t>
      </w:r>
    </w:p>
    <w:p w:rsidR="00677358" w:rsidRPr="00677358" w:rsidRDefault="00677358" w:rsidP="00677358">
      <w:pPr>
        <w:ind w:left="360"/>
        <w:jc w:val="both"/>
        <w:rPr>
          <w:rFonts w:ascii="Calibri" w:hAnsi="Calibri" w:cs="Calibri"/>
          <w:bCs/>
          <w:sz w:val="16"/>
          <w:szCs w:val="16"/>
          <w:lang w:val="fr-FR"/>
        </w:rPr>
      </w:pPr>
    </w:p>
    <w:p w:rsidR="00677358" w:rsidRPr="00677358" w:rsidRDefault="00677358" w:rsidP="00677358">
      <w:pPr>
        <w:numPr>
          <w:ilvl w:val="0"/>
          <w:numId w:val="14"/>
        </w:numPr>
        <w:jc w:val="both"/>
        <w:rPr>
          <w:rFonts w:ascii="Calibri" w:hAnsi="Calibri" w:cs="Calibri"/>
          <w:bCs/>
          <w:lang w:val="fr-FR"/>
        </w:rPr>
      </w:pPr>
      <w:r w:rsidRPr="00677358">
        <w:rPr>
          <w:rFonts w:ascii="Calibri" w:hAnsi="Calibri" w:cs="Calibri"/>
          <w:bCs/>
          <w:lang w:val="fr-FR"/>
        </w:rPr>
        <w:t xml:space="preserve">et une redevance commerciale variable, dite également proportionnelle, calculée sur la base d’un pourcentage sur le chiffre d’affaires réalisé par mois, assorti d’un minimum garanti annuel en DH/HT/AN.  </w:t>
      </w:r>
    </w:p>
    <w:p w:rsidR="00677358" w:rsidRPr="00677358" w:rsidRDefault="00677358" w:rsidP="00677358">
      <w:pPr>
        <w:jc w:val="both"/>
        <w:rPr>
          <w:rFonts w:ascii="Calibri" w:hAnsi="Calibri" w:cs="Calibri"/>
          <w:bCs/>
          <w:lang w:val="fr-FR"/>
        </w:rPr>
      </w:pPr>
    </w:p>
    <w:p w:rsidR="00677358" w:rsidRPr="00677358" w:rsidRDefault="00677358" w:rsidP="00677358">
      <w:pPr>
        <w:jc w:val="both"/>
        <w:rPr>
          <w:rFonts w:ascii="Calibri" w:hAnsi="Calibri" w:cs="Calibri"/>
          <w:bCs/>
          <w:lang w:val="fr-FR"/>
        </w:rPr>
      </w:pPr>
      <w:r w:rsidRPr="00677358">
        <w:rPr>
          <w:rFonts w:ascii="Calibri" w:hAnsi="Calibri" w:cs="Calibri"/>
          <w:bCs/>
          <w:lang w:val="fr-FR"/>
        </w:rPr>
        <w:t xml:space="preserve">Le titulaire s’engage à déclarer mensuellement le chiffre d’affaires réalisé. Toutefois, l’ONDA se réserve le droit de procéder aux vérifications et contrôle des déclarations faites. </w:t>
      </w:r>
    </w:p>
    <w:p w:rsidR="00677358" w:rsidRPr="00677358" w:rsidRDefault="00677358" w:rsidP="00677358">
      <w:pPr>
        <w:jc w:val="both"/>
        <w:rPr>
          <w:rFonts w:ascii="Calibri" w:hAnsi="Calibri" w:cs="Calibri"/>
          <w:bCs/>
          <w:lang w:val="fr-FR"/>
        </w:rPr>
      </w:pPr>
    </w:p>
    <w:p w:rsidR="00677358" w:rsidRPr="008F4730" w:rsidRDefault="00677358" w:rsidP="00677358">
      <w:pPr>
        <w:jc w:val="both"/>
        <w:rPr>
          <w:rFonts w:ascii="Calibri" w:hAnsi="Calibri" w:cs="Calibri"/>
          <w:bCs/>
        </w:rPr>
      </w:pPr>
      <w:r w:rsidRPr="00677358">
        <w:rPr>
          <w:rFonts w:ascii="Calibri" w:hAnsi="Calibri" w:cs="Calibri"/>
          <w:bCs/>
          <w:lang w:val="fr-FR"/>
        </w:rPr>
        <w:t xml:space="preserve">A la fin de chaque année, une comparaison sera faite entre la redevance commerciale annuelle à payer et le minimum garanti annuel. </w:t>
      </w:r>
      <w:r w:rsidRPr="001131EC">
        <w:rPr>
          <w:rFonts w:ascii="Calibri" w:hAnsi="Calibri" w:cs="Calibri"/>
          <w:bCs/>
        </w:rPr>
        <w:t>Deux cas de figures se présentent</w:t>
      </w:r>
      <w:r>
        <w:rPr>
          <w:rFonts w:ascii="Calibri" w:hAnsi="Calibri" w:cs="Calibri"/>
          <w:bCs/>
          <w:color w:val="FF0000"/>
        </w:rPr>
        <w:t> :</w:t>
      </w:r>
    </w:p>
    <w:p w:rsidR="00677358" w:rsidRPr="00204818" w:rsidRDefault="00677358" w:rsidP="00677358">
      <w:pPr>
        <w:jc w:val="both"/>
        <w:rPr>
          <w:rFonts w:ascii="Calibri" w:hAnsi="Calibri" w:cs="Calibri"/>
          <w:bCs/>
          <w:color w:val="FF0000"/>
          <w:sz w:val="16"/>
          <w:szCs w:val="16"/>
        </w:rPr>
      </w:pPr>
    </w:p>
    <w:p w:rsidR="00677358" w:rsidRPr="00677358" w:rsidRDefault="00677358" w:rsidP="00677358">
      <w:pPr>
        <w:numPr>
          <w:ilvl w:val="0"/>
          <w:numId w:val="14"/>
        </w:numPr>
        <w:jc w:val="both"/>
        <w:rPr>
          <w:rFonts w:ascii="Calibri" w:hAnsi="Calibri" w:cs="Calibri"/>
          <w:bCs/>
          <w:lang w:val="fr-FR"/>
        </w:rPr>
      </w:pPr>
      <w:r w:rsidRPr="00677358">
        <w:rPr>
          <w:rFonts w:ascii="Calibri" w:hAnsi="Calibri" w:cs="Calibri"/>
          <w:bCs/>
          <w:lang w:val="fr-FR"/>
        </w:rPr>
        <w:t>Si la redevance commerciale payée est inférieure au minimum garanti, le reliquat (complément) sera facturé au titulaire pour atteindre ce minimum garanti ;</w:t>
      </w:r>
    </w:p>
    <w:p w:rsidR="00677358" w:rsidRPr="00677358" w:rsidRDefault="00677358" w:rsidP="00677358">
      <w:pPr>
        <w:ind w:left="360"/>
        <w:jc w:val="both"/>
        <w:rPr>
          <w:rFonts w:ascii="Calibri" w:hAnsi="Calibri" w:cs="Calibri"/>
          <w:bCs/>
          <w:sz w:val="8"/>
          <w:szCs w:val="8"/>
          <w:lang w:val="fr-FR"/>
        </w:rPr>
      </w:pPr>
    </w:p>
    <w:p w:rsidR="00677358" w:rsidRPr="00677358" w:rsidRDefault="00677358" w:rsidP="00677358">
      <w:pPr>
        <w:numPr>
          <w:ilvl w:val="0"/>
          <w:numId w:val="14"/>
        </w:numPr>
        <w:jc w:val="both"/>
        <w:rPr>
          <w:rFonts w:ascii="Calibri" w:hAnsi="Calibri" w:cs="Calibri"/>
          <w:bCs/>
          <w:lang w:val="fr-FR"/>
        </w:rPr>
      </w:pPr>
      <w:r w:rsidRPr="00677358">
        <w:rPr>
          <w:rFonts w:ascii="Calibri" w:hAnsi="Calibri" w:cs="Calibri"/>
          <w:bCs/>
          <w:lang w:val="fr-FR"/>
        </w:rPr>
        <w:t>Si la redevance commerciale payée est supérieure au minimum garanti, le Titulaire paye alors la redevance commerciale réalisée pour l’année concernée.</w:t>
      </w:r>
    </w:p>
    <w:p w:rsidR="00677358" w:rsidRPr="00677358" w:rsidRDefault="00677358" w:rsidP="00677358">
      <w:pPr>
        <w:jc w:val="both"/>
        <w:rPr>
          <w:rFonts w:ascii="Calibri" w:hAnsi="Calibri" w:cs="Calibri"/>
          <w:lang w:val="fr-FR"/>
        </w:rPr>
      </w:pPr>
    </w:p>
    <w:p w:rsidR="00677358" w:rsidRPr="00677358" w:rsidRDefault="00677358" w:rsidP="00677358">
      <w:pPr>
        <w:pStyle w:val="Titre1"/>
        <w:rPr>
          <w:rFonts w:ascii="Calibri" w:hAnsi="Calibri" w:cs="Calibri"/>
          <w:lang w:val="fr-FR"/>
        </w:rPr>
      </w:pPr>
      <w:r w:rsidRPr="00677358">
        <w:rPr>
          <w:rFonts w:ascii="Calibri" w:hAnsi="Calibri" w:cs="Calibri"/>
          <w:bCs w:val="0"/>
          <w:lang w:val="fr-FR"/>
        </w:rPr>
        <w:t xml:space="preserve">Convention à base de </w:t>
      </w:r>
      <w:r w:rsidRPr="00677358">
        <w:rPr>
          <w:rFonts w:ascii="Calibri" w:hAnsi="Calibri" w:cs="Calibri"/>
          <w:lang w:val="fr-FR"/>
        </w:rPr>
        <w:t>redevance domaniale</w:t>
      </w:r>
    </w:p>
    <w:p w:rsidR="00677358" w:rsidRPr="00677358" w:rsidRDefault="00677358" w:rsidP="00677358">
      <w:pPr>
        <w:rPr>
          <w:lang w:val="fr-FR"/>
        </w:rPr>
      </w:pPr>
    </w:p>
    <w:p w:rsidR="00677358" w:rsidRPr="00677358" w:rsidRDefault="00677358" w:rsidP="00677358">
      <w:pPr>
        <w:jc w:val="both"/>
        <w:rPr>
          <w:rFonts w:ascii="Calibri" w:hAnsi="Calibri" w:cs="Calibri"/>
          <w:bCs/>
          <w:lang w:val="fr-FR"/>
        </w:rPr>
      </w:pPr>
      <w:r w:rsidRPr="00677358">
        <w:rPr>
          <w:rFonts w:ascii="Calibri" w:hAnsi="Calibri" w:cs="Calibri"/>
          <w:bCs/>
          <w:lang w:val="fr-FR"/>
        </w:rPr>
        <w:t xml:space="preserve">Les </w:t>
      </w:r>
      <w:r w:rsidRPr="00677358">
        <w:rPr>
          <w:rFonts w:ascii="Calibri" w:hAnsi="Calibri" w:cs="Calibri"/>
          <w:lang w:val="fr-FR"/>
        </w:rPr>
        <w:t xml:space="preserve">conventions à base de redevance domaniale sont des contrats en vertu desquels le Titulaire est assujetti à </w:t>
      </w:r>
      <w:r w:rsidRPr="00677358">
        <w:rPr>
          <w:rFonts w:ascii="Calibri" w:hAnsi="Calibri" w:cs="Calibri"/>
          <w:bCs/>
          <w:lang w:val="fr-FR"/>
        </w:rPr>
        <w:t>une redevance domaniale calculée sur la base du taux en vigueur DH/HT/M²/AN multiplié par la superficie du bien occupé</w:t>
      </w:r>
      <w:r w:rsidRPr="00677358">
        <w:rPr>
          <w:rFonts w:ascii="Calibri" w:hAnsi="Calibri" w:cs="Calibri"/>
          <w:lang w:val="fr-FR"/>
        </w:rPr>
        <w:t xml:space="preserve">. </w:t>
      </w:r>
    </w:p>
    <w:p w:rsidR="00677358" w:rsidRPr="00677358" w:rsidRDefault="00677358" w:rsidP="00677358">
      <w:pPr>
        <w:pStyle w:val="Titre1"/>
        <w:rPr>
          <w:rFonts w:ascii="Calibri" w:hAnsi="Calibri" w:cs="Calibri"/>
          <w:lang w:val="fr-FR"/>
        </w:rPr>
      </w:pPr>
      <w:bookmarkStart w:id="16" w:name="_Toc135465888"/>
      <w:bookmarkStart w:id="17" w:name="_Toc135466645"/>
      <w:bookmarkStart w:id="18" w:name="_Toc135808656"/>
      <w:bookmarkStart w:id="19" w:name="_Toc135808772"/>
      <w:bookmarkStart w:id="20" w:name="_Toc136065940"/>
      <w:bookmarkStart w:id="21" w:name="_Toc136066057"/>
    </w:p>
    <w:bookmarkEnd w:id="16"/>
    <w:bookmarkEnd w:id="17"/>
    <w:bookmarkEnd w:id="18"/>
    <w:bookmarkEnd w:id="19"/>
    <w:bookmarkEnd w:id="20"/>
    <w:bookmarkEnd w:id="21"/>
    <w:p w:rsidR="00677358" w:rsidRPr="00677358" w:rsidRDefault="00677358" w:rsidP="00677358">
      <w:pPr>
        <w:pStyle w:val="Titre1"/>
        <w:rPr>
          <w:rFonts w:ascii="Calibri" w:hAnsi="Calibri" w:cs="Calibri"/>
          <w:lang w:val="fr-FR"/>
        </w:rPr>
      </w:pPr>
      <w:r w:rsidRPr="00677358">
        <w:rPr>
          <w:rFonts w:ascii="Calibri" w:hAnsi="Calibri" w:cs="Calibri"/>
          <w:sz w:val="28"/>
          <w:szCs w:val="28"/>
          <w:lang w:val="fr-FR"/>
        </w:rPr>
        <w:t xml:space="preserve">Durée des conventions </w:t>
      </w:r>
    </w:p>
    <w:p w:rsidR="00677358" w:rsidRPr="00677358" w:rsidRDefault="00677358" w:rsidP="00677358">
      <w:pPr>
        <w:jc w:val="both"/>
        <w:rPr>
          <w:rFonts w:ascii="Calibri" w:hAnsi="Calibri" w:cs="Calibri"/>
          <w:u w:val="single"/>
          <w:lang w:val="fr-FR"/>
        </w:rPr>
      </w:pPr>
    </w:p>
    <w:p w:rsidR="00677358" w:rsidRPr="00677358" w:rsidRDefault="00677358" w:rsidP="00677358">
      <w:pPr>
        <w:jc w:val="both"/>
        <w:rPr>
          <w:rFonts w:ascii="Calibri" w:hAnsi="Calibri" w:cs="Calibri"/>
          <w:bCs/>
          <w:lang w:val="fr-FR"/>
        </w:rPr>
      </w:pPr>
      <w:r w:rsidRPr="00677358">
        <w:rPr>
          <w:rFonts w:ascii="Calibri" w:hAnsi="Calibri" w:cs="Calibri"/>
          <w:bCs/>
          <w:lang w:val="fr-FR"/>
        </w:rPr>
        <w:t xml:space="preserve">Les conventions citées ci-dessus peuvent être fermes ou révisables. Dans tous les cas, les conventions ne peuvent dépasser une durée maximale de 10 ans, renouvelable exceptionnellement pour la même période, conformément au dahir du 30 Novembre 1918. </w:t>
      </w:r>
    </w:p>
    <w:p w:rsidR="00677358" w:rsidRPr="00677358" w:rsidRDefault="00677358" w:rsidP="00677358">
      <w:pPr>
        <w:jc w:val="both"/>
        <w:rPr>
          <w:rFonts w:ascii="Calibri" w:hAnsi="Calibri" w:cs="Calibri"/>
          <w:bCs/>
          <w:lang w:val="fr-FR"/>
        </w:rPr>
      </w:pPr>
    </w:p>
    <w:p w:rsidR="00677358" w:rsidRPr="00677358" w:rsidRDefault="00677358" w:rsidP="00677358">
      <w:pPr>
        <w:jc w:val="both"/>
        <w:rPr>
          <w:rFonts w:ascii="Calibri" w:hAnsi="Calibri" w:cs="Calibri"/>
          <w:lang w:val="fr-FR"/>
        </w:rPr>
      </w:pPr>
      <w:r w:rsidRPr="00677358">
        <w:rPr>
          <w:rFonts w:ascii="Calibri" w:hAnsi="Calibri" w:cs="Calibri"/>
          <w:lang w:val="fr-FR"/>
        </w:rPr>
        <w:t xml:space="preserve">Un amendement dudit dahir est en cours afin d’augmenter la durée d’exploitation, notamment pour les terrains affectés aux industriels, afin d’amortir généralement le lourd coût d’investissement engagé.   </w:t>
      </w:r>
    </w:p>
    <w:p w:rsidR="00677358" w:rsidRPr="00677358" w:rsidRDefault="00677358" w:rsidP="00677358">
      <w:pPr>
        <w:jc w:val="both"/>
        <w:rPr>
          <w:rFonts w:ascii="Calibri" w:hAnsi="Calibri" w:cs="Calibri"/>
          <w:bCs/>
          <w:lang w:val="fr-FR"/>
        </w:rPr>
      </w:pPr>
    </w:p>
    <w:p w:rsidR="00677358" w:rsidRPr="00677358" w:rsidRDefault="00677358" w:rsidP="00677358">
      <w:pPr>
        <w:jc w:val="both"/>
        <w:rPr>
          <w:rFonts w:ascii="Calibri" w:hAnsi="Calibri" w:cs="Calibri"/>
          <w:b/>
          <w:lang w:val="fr-FR"/>
        </w:rPr>
      </w:pPr>
      <w:r w:rsidRPr="00677358">
        <w:rPr>
          <w:rFonts w:ascii="Calibri" w:hAnsi="Calibri" w:cs="Calibri"/>
          <w:b/>
          <w:lang w:val="fr-FR"/>
        </w:rPr>
        <w:t>1- Convention à durée ferme :</w:t>
      </w:r>
    </w:p>
    <w:p w:rsidR="00677358" w:rsidRPr="00677358" w:rsidRDefault="00677358" w:rsidP="00677358">
      <w:pPr>
        <w:ind w:firstLine="540"/>
        <w:jc w:val="both"/>
        <w:rPr>
          <w:rFonts w:ascii="Calibri" w:hAnsi="Calibri" w:cs="Calibri"/>
          <w:lang w:val="fr-FR"/>
        </w:rPr>
      </w:pPr>
    </w:p>
    <w:p w:rsidR="00677358" w:rsidRPr="00677358" w:rsidRDefault="00677358" w:rsidP="00677358">
      <w:pPr>
        <w:jc w:val="both"/>
        <w:rPr>
          <w:rFonts w:ascii="Calibri" w:hAnsi="Calibri" w:cs="Calibri"/>
          <w:lang w:val="fr-FR"/>
        </w:rPr>
      </w:pPr>
      <w:r w:rsidRPr="00677358">
        <w:rPr>
          <w:rFonts w:ascii="Calibri" w:hAnsi="Calibri" w:cs="Calibri"/>
          <w:lang w:val="fr-FR"/>
        </w:rPr>
        <w:t>La convention est ferme lorsqu'elle ne peut être modifiée en raison des variations économiques survenues pendant le délai de son exécution.</w:t>
      </w:r>
    </w:p>
    <w:p w:rsidR="00677358" w:rsidRPr="00677358" w:rsidRDefault="00677358" w:rsidP="00677358">
      <w:pPr>
        <w:jc w:val="both"/>
        <w:rPr>
          <w:rFonts w:ascii="Calibri" w:hAnsi="Calibri" w:cs="Calibri"/>
          <w:lang w:val="fr-FR"/>
        </w:rPr>
      </w:pPr>
    </w:p>
    <w:p w:rsidR="00677358" w:rsidRPr="00677358" w:rsidRDefault="00677358" w:rsidP="00677358">
      <w:pPr>
        <w:jc w:val="both"/>
        <w:rPr>
          <w:rFonts w:ascii="Calibri" w:hAnsi="Calibri" w:cs="Calibri"/>
          <w:b/>
          <w:lang w:val="fr-FR"/>
        </w:rPr>
      </w:pPr>
      <w:r w:rsidRPr="00677358">
        <w:rPr>
          <w:rFonts w:ascii="Calibri" w:hAnsi="Calibri" w:cs="Calibri"/>
          <w:b/>
          <w:lang w:val="fr-FR"/>
        </w:rPr>
        <w:t>2- Convention à durée révisable</w:t>
      </w:r>
      <w:r w:rsidRPr="00677358">
        <w:rPr>
          <w:rFonts w:ascii="Calibri" w:hAnsi="Calibri" w:cs="Calibri"/>
          <w:b/>
          <w:i/>
          <w:iCs/>
          <w:lang w:val="fr-FR"/>
        </w:rPr>
        <w:t> :</w:t>
      </w:r>
    </w:p>
    <w:p w:rsidR="00677358" w:rsidRPr="00677358" w:rsidRDefault="00677358" w:rsidP="00677358">
      <w:pPr>
        <w:spacing w:before="120"/>
        <w:jc w:val="both"/>
        <w:rPr>
          <w:rFonts w:ascii="Calibri" w:hAnsi="Calibri" w:cs="Calibri"/>
          <w:color w:val="FF0000"/>
          <w:lang w:val="fr-FR"/>
        </w:rPr>
      </w:pPr>
      <w:r w:rsidRPr="00677358">
        <w:rPr>
          <w:rFonts w:ascii="Calibri" w:hAnsi="Calibri" w:cs="Calibri"/>
          <w:lang w:val="fr-FR"/>
        </w:rPr>
        <w:t>La convention est révisable, renouvelable par tacite reconduction, lorsqu'elle peut être modifiée en raison des variations économiques</w:t>
      </w:r>
      <w:r w:rsidRPr="00677358">
        <w:rPr>
          <w:rFonts w:ascii="Calibri" w:hAnsi="Calibri" w:cs="Calibri"/>
          <w:color w:val="FF0000"/>
          <w:lang w:val="fr-FR"/>
        </w:rPr>
        <w:t xml:space="preserve"> </w:t>
      </w:r>
      <w:r w:rsidRPr="00677358">
        <w:rPr>
          <w:rFonts w:ascii="Calibri" w:hAnsi="Calibri" w:cs="Calibri"/>
          <w:lang w:val="fr-FR"/>
        </w:rPr>
        <w:t>pendant le délai de son exécution.</w:t>
      </w:r>
    </w:p>
    <w:p w:rsidR="004652DF" w:rsidRPr="00D73FC8" w:rsidRDefault="004652DF" w:rsidP="00D73FC8">
      <w:pPr>
        <w:pStyle w:val="Titre1"/>
        <w:rPr>
          <w:lang w:val="fr-FR"/>
        </w:rPr>
      </w:pPr>
    </w:p>
    <w:sectPr w:rsidR="004652DF" w:rsidRPr="00D73FC8">
      <w:headerReference w:type="default" r:id="rId7"/>
      <w:footerReference w:type="default" r:id="rId8"/>
      <w:pgSz w:w="11906" w:h="16838"/>
      <w:pgMar w:top="306" w:right="1417" w:bottom="1417" w:left="1417" w:header="708"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01" w:rsidRDefault="00155D01">
      <w:r>
        <w:separator/>
      </w:r>
    </w:p>
  </w:endnote>
  <w:endnote w:type="continuationSeparator" w:id="0">
    <w:p w:rsidR="00155D01" w:rsidRDefault="00155D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39" w:rsidRDefault="00803F39">
    <w:pPr>
      <w:jc w:val="right"/>
      <w:rPr>
        <w:b/>
        <w:bCs/>
      </w:rPr>
    </w:pPr>
  </w:p>
  <w:p w:rsidR="00803F39" w:rsidRDefault="00803F39">
    <w:pPr>
      <w:rPr>
        <w:rFonts w:ascii="Arial" w:hAnsi="Arial" w:cs="Arial"/>
        <w:color w:val="999999"/>
        <w:sz w:val="20"/>
        <w:szCs w:val="20"/>
      </w:rPr>
    </w:pPr>
    <w:r>
      <w:rPr>
        <w:rFonts w:ascii="Arial" w:hAnsi="Arial" w:cs="Arial" w:hint="cs"/>
        <w:noProof/>
        <w:color w:val="999999"/>
        <w:sz w:val="20"/>
        <w:szCs w:val="20"/>
        <w:rtl/>
      </w:rPr>
      <w:pict>
        <v:line id="_x0000_s2050" style="position:absolute;z-index:251657728" from="0,10.6pt" to="459pt,10.6pt" strokecolor="#036" strokeweight="1.75pt"/>
      </w:pict>
    </w:r>
  </w:p>
  <w:p w:rsidR="00803F39" w:rsidRDefault="00803F39">
    <w:pPr>
      <w:rPr>
        <w:rFonts w:ascii="Arial" w:hAnsi="Arial" w:cs="Arial" w:hint="cs"/>
        <w:color w:val="999999"/>
        <w:sz w:val="20"/>
        <w:szCs w:val="20"/>
        <w:rtl/>
      </w:rPr>
    </w:pPr>
  </w:p>
  <w:p w:rsidR="00803F39" w:rsidRDefault="00803F39">
    <w:pPr>
      <w:jc w:val="center"/>
      <w:rPr>
        <w:rFonts w:ascii="Arial" w:hAnsi="Arial" w:cs="Arial" w:hint="cs"/>
        <w:color w:val="999999"/>
        <w:sz w:val="18"/>
        <w:szCs w:val="18"/>
        <w:rtl/>
      </w:rPr>
    </w:pPr>
    <w:r>
      <w:rPr>
        <w:rFonts w:ascii="Arial" w:hAnsi="Arial" w:cs="Arial" w:hint="cs"/>
        <w:color w:val="999999"/>
        <w:sz w:val="18"/>
        <w:szCs w:val="18"/>
        <w:rtl/>
      </w:rPr>
      <w:t>المكتب الوطني للمطارات</w:t>
    </w:r>
    <w:r>
      <w:rPr>
        <w:rFonts w:ascii="Arial" w:hAnsi="Arial" w:cs="Arial" w:hint="cs"/>
        <w:color w:val="999999"/>
        <w:sz w:val="18"/>
        <w:szCs w:val="18"/>
        <w:rtl/>
        <w:lang w:bidi="ar-MA"/>
      </w:rPr>
      <w:t>-</w:t>
    </w:r>
    <w:r>
      <w:rPr>
        <w:rFonts w:ascii="Arial" w:hAnsi="Arial" w:cs="Arial" w:hint="cs"/>
        <w:color w:val="999999"/>
        <w:sz w:val="18"/>
        <w:szCs w:val="18"/>
        <w:rtl/>
      </w:rPr>
      <w:t xml:space="preserve"> -النواصر-المغرب-الهاتف : 63-78-43-022 الفاكس : 33-79-43-022</w:t>
    </w:r>
  </w:p>
  <w:p w:rsidR="00803F39" w:rsidRDefault="00803F39">
    <w:pPr>
      <w:jc w:val="center"/>
      <w:rPr>
        <w:rFonts w:ascii="Arial" w:hAnsi="Arial" w:cs="Arial" w:hint="cs"/>
        <w:color w:val="999999"/>
        <w:sz w:val="18"/>
        <w:szCs w:val="18"/>
        <w:rtl/>
      </w:rPr>
    </w:pPr>
    <w:r>
      <w:rPr>
        <w:rFonts w:ascii="Arial" w:hAnsi="Arial" w:cs="Arial"/>
        <w:color w:val="999999"/>
        <w:sz w:val="18"/>
        <w:szCs w:val="18"/>
      </w:rPr>
      <w:t>Office National Des Aéroports – Nouaceur – Maroc- Tél. : 022-43-78-63 – Fax : 022-43-79-33</w:t>
    </w:r>
  </w:p>
  <w:p w:rsidR="00803F39" w:rsidRDefault="00803F39">
    <w:pPr>
      <w:jc w:val="center"/>
      <w:rPr>
        <w:color w:val="999999"/>
        <w:sz w:val="18"/>
        <w:szCs w:val="18"/>
      </w:rPr>
    </w:pPr>
    <w:r>
      <w:rPr>
        <w:rFonts w:ascii="Arial" w:hAnsi="Arial" w:cs="Arial"/>
        <w:color w:val="999999"/>
        <w:sz w:val="18"/>
        <w:szCs w:val="18"/>
      </w:rPr>
      <w:t>www.onda.ma</w:t>
    </w:r>
  </w:p>
  <w:p w:rsidR="00803F39" w:rsidRDefault="00803F39">
    <w:pPr>
      <w:jc w:val="center"/>
      <w:rPr>
        <w:sz w:val="18"/>
        <w:szCs w:val="18"/>
      </w:rPr>
    </w:pPr>
  </w:p>
  <w:p w:rsidR="00803F39" w:rsidRDefault="00803F39">
    <w:pPr>
      <w:jc w:val="center"/>
      <w:rPr>
        <w:sz w:val="22"/>
        <w:szCs w:val="22"/>
      </w:rPr>
    </w:pPr>
    <w:smartTag w:uri="urn:schemas-microsoft-com:office:smarttags" w:element="place">
      <w:smartTag w:uri="urn:schemas-microsoft-com:office:smarttags" w:element="PlaceName">
        <w:r>
          <w:rPr>
            <w:rFonts w:ascii="Arial" w:hAnsi="Arial" w:cs="Arial"/>
            <w:b/>
            <w:bCs/>
            <w:sz w:val="22"/>
            <w:szCs w:val="22"/>
            <w:shd w:val="clear" w:color="auto" w:fill="003366"/>
          </w:rPr>
          <w:t>Call</w:t>
        </w:r>
      </w:smartTag>
      <w:r>
        <w:rPr>
          <w:rFonts w:ascii="Arial" w:hAnsi="Arial" w:cs="Arial"/>
          <w:b/>
          <w:bCs/>
          <w:sz w:val="22"/>
          <w:szCs w:val="22"/>
          <w:shd w:val="clear" w:color="auto" w:fill="003366"/>
        </w:rPr>
        <w:t xml:space="preserve"> </w:t>
      </w:r>
      <w:smartTag w:uri="urn:schemas-microsoft-com:office:smarttags" w:element="PlaceType">
        <w:r>
          <w:rPr>
            <w:rFonts w:ascii="Arial" w:hAnsi="Arial" w:cs="Arial"/>
            <w:b/>
            <w:bCs/>
            <w:sz w:val="22"/>
            <w:szCs w:val="22"/>
            <w:shd w:val="clear" w:color="auto" w:fill="003366"/>
          </w:rPr>
          <w:t>Center</w:t>
        </w:r>
      </w:smartTag>
    </w:smartTag>
    <w:r>
      <w:rPr>
        <w:rFonts w:ascii="Arial" w:hAnsi="Arial" w:cs="Arial"/>
        <w:b/>
        <w:bCs/>
        <w:sz w:val="22"/>
        <w:szCs w:val="22"/>
      </w:rPr>
      <w:t xml:space="preserve"> </w:t>
    </w:r>
    <w:r>
      <w:rPr>
        <w:rFonts w:ascii="Arial" w:hAnsi="Arial" w:cs="Arial"/>
        <w:b/>
        <w:bCs/>
        <w:color w:val="FFFFFF"/>
        <w:sz w:val="22"/>
        <w:szCs w:val="22"/>
        <w:shd w:val="clear" w:color="auto" w:fill="C0C0C0"/>
      </w:rPr>
      <w:t>081 000 224</w:t>
    </w:r>
  </w:p>
  <w:p w:rsidR="00803F39" w:rsidRDefault="00803F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01" w:rsidRDefault="00155D01">
      <w:r>
        <w:separator/>
      </w:r>
    </w:p>
  </w:footnote>
  <w:footnote w:type="continuationSeparator" w:id="0">
    <w:p w:rsidR="00155D01" w:rsidRDefault="00155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39" w:rsidRDefault="007A7B7C">
    <w:pPr>
      <w:pStyle w:val="En-tte"/>
    </w:pPr>
    <w:r>
      <w:rPr>
        <w:noProof/>
        <w:lang w:val="fr-FR"/>
      </w:rPr>
      <w:drawing>
        <wp:inline distT="0" distB="0" distL="0" distR="0">
          <wp:extent cx="5715000" cy="508000"/>
          <wp:effectExtent l="19050" t="0" r="0" b="0"/>
          <wp:docPr id="1" name="Image 1" descr="Logo ONDA Modifi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DA Modifié"/>
                  <pic:cNvPicPr>
                    <a:picLocks noChangeAspect="1" noChangeArrowheads="1"/>
                  </pic:cNvPicPr>
                </pic:nvPicPr>
                <pic:blipFill>
                  <a:blip r:embed="rId1"/>
                  <a:srcRect/>
                  <a:stretch>
                    <a:fillRect/>
                  </a:stretch>
                </pic:blipFill>
                <pic:spPr bwMode="auto">
                  <a:xfrm>
                    <a:off x="0" y="0"/>
                    <a:ext cx="5715000" cy="508000"/>
                  </a:xfrm>
                  <a:prstGeom prst="rect">
                    <a:avLst/>
                  </a:prstGeom>
                  <a:noFill/>
                  <a:ln w="9525">
                    <a:noFill/>
                    <a:miter lim="800000"/>
                    <a:headEnd/>
                    <a:tailEnd/>
                  </a:ln>
                </pic:spPr>
              </pic:pic>
            </a:graphicData>
          </a:graphic>
        </wp:inline>
      </w:drawing>
    </w:r>
  </w:p>
  <w:p w:rsidR="00803F39" w:rsidRDefault="00803F39">
    <w:pPr>
      <w:pStyle w:val="En-tte"/>
      <w:jc w:val="center"/>
      <w:rPr>
        <w:sz w:val="28"/>
        <w:szCs w:val="28"/>
      </w:rPr>
    </w:pPr>
  </w:p>
  <w:p w:rsidR="00803F39" w:rsidRDefault="00803F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A20"/>
    <w:multiLevelType w:val="hybridMultilevel"/>
    <w:tmpl w:val="E5FEFCA8"/>
    <w:lvl w:ilvl="0" w:tplc="1BA4A14E">
      <w:start w:val="1"/>
      <w:numFmt w:val="bullet"/>
      <w:lvlText w:val=""/>
      <w:lvlJc w:val="left"/>
      <w:pPr>
        <w:tabs>
          <w:tab w:val="num" w:pos="720"/>
        </w:tabs>
        <w:ind w:left="720"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3421E4"/>
    <w:multiLevelType w:val="hybridMultilevel"/>
    <w:tmpl w:val="A78C4212"/>
    <w:lvl w:ilvl="0" w:tplc="F5DED124">
      <w:start w:val="1"/>
      <w:numFmt w:val="bullet"/>
      <w:lvlText w:val=""/>
      <w:lvlJc w:val="left"/>
      <w:pPr>
        <w:tabs>
          <w:tab w:val="num" w:pos="720"/>
        </w:tabs>
        <w:ind w:left="720" w:hanging="360"/>
      </w:pPr>
      <w:rPr>
        <w:rFonts w:ascii="Wingdings" w:hAnsi="Wingdings" w:hint="default"/>
        <w:b w:val="0"/>
        <w:i w:val="0"/>
        <w:color w:val="00008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F63900"/>
    <w:multiLevelType w:val="hybridMultilevel"/>
    <w:tmpl w:val="CB70120E"/>
    <w:lvl w:ilvl="0" w:tplc="F5DED124">
      <w:start w:val="1"/>
      <w:numFmt w:val="bullet"/>
      <w:lvlText w:val=""/>
      <w:lvlJc w:val="left"/>
      <w:pPr>
        <w:tabs>
          <w:tab w:val="num" w:pos="1620"/>
        </w:tabs>
        <w:ind w:left="1620" w:hanging="360"/>
      </w:pPr>
      <w:rPr>
        <w:rFonts w:ascii="Wingdings" w:hAnsi="Wingdings" w:hint="default"/>
        <w:b w:val="0"/>
        <w:i w:val="0"/>
        <w:color w:val="000080"/>
        <w:u w:val="none"/>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
    <w:nsid w:val="19E640DD"/>
    <w:multiLevelType w:val="hybridMultilevel"/>
    <w:tmpl w:val="5C2A2C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F6C78C1"/>
    <w:multiLevelType w:val="hybridMultilevel"/>
    <w:tmpl w:val="D12AD6BC"/>
    <w:lvl w:ilvl="0" w:tplc="224413BA">
      <w:start w:val="1"/>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45453D"/>
    <w:multiLevelType w:val="hybridMultilevel"/>
    <w:tmpl w:val="E5FEFCA8"/>
    <w:lvl w:ilvl="0" w:tplc="040C000F">
      <w:start w:val="1"/>
      <w:numFmt w:val="decimal"/>
      <w:lvlText w:val="%1."/>
      <w:lvlJc w:val="left"/>
      <w:pPr>
        <w:tabs>
          <w:tab w:val="num" w:pos="720"/>
        </w:tabs>
        <w:ind w:left="720" w:hanging="360"/>
      </w:pPr>
      <w:rPr>
        <w:rFont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81D70C0"/>
    <w:multiLevelType w:val="hybridMultilevel"/>
    <w:tmpl w:val="8606F9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AA125D8"/>
    <w:multiLevelType w:val="hybridMultilevel"/>
    <w:tmpl w:val="BD52A98A"/>
    <w:lvl w:ilvl="0" w:tplc="F5DED124">
      <w:start w:val="1"/>
      <w:numFmt w:val="bullet"/>
      <w:lvlText w:val=""/>
      <w:lvlJc w:val="left"/>
      <w:pPr>
        <w:tabs>
          <w:tab w:val="num" w:pos="1332"/>
        </w:tabs>
        <w:ind w:left="1332" w:hanging="360"/>
      </w:pPr>
      <w:rPr>
        <w:rFonts w:ascii="Wingdings" w:hAnsi="Wingdings" w:hint="default"/>
        <w:b w:val="0"/>
        <w:i w:val="0"/>
        <w:color w:val="000080"/>
        <w:u w:val="no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C753CA8"/>
    <w:multiLevelType w:val="hybridMultilevel"/>
    <w:tmpl w:val="9136526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F5D44DC"/>
    <w:multiLevelType w:val="hybridMultilevel"/>
    <w:tmpl w:val="BD52A98A"/>
    <w:lvl w:ilvl="0" w:tplc="1BA4A14E">
      <w:start w:val="1"/>
      <w:numFmt w:val="bullet"/>
      <w:lvlText w:val=""/>
      <w:lvlJc w:val="left"/>
      <w:pPr>
        <w:tabs>
          <w:tab w:val="num" w:pos="1332"/>
        </w:tabs>
        <w:ind w:left="1332"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BDE0501"/>
    <w:multiLevelType w:val="hybridMultilevel"/>
    <w:tmpl w:val="2BAA7E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4A947DF"/>
    <w:multiLevelType w:val="hybridMultilevel"/>
    <w:tmpl w:val="44F4DA2E"/>
    <w:lvl w:ilvl="0" w:tplc="B2CA93AE">
      <w:numFmt w:val="bullet"/>
      <w:lvlText w:val="-"/>
      <w:lvlJc w:val="left"/>
      <w:pPr>
        <w:tabs>
          <w:tab w:val="num" w:pos="720"/>
        </w:tabs>
        <w:ind w:left="720" w:hanging="360"/>
      </w:pPr>
      <w:rPr>
        <w:rFonts w:ascii="Times New Roman" w:eastAsia="Times New Roman" w:hAnsi="Times New Roman" w:cs="Times New Roman" w:hint="default"/>
      </w:rPr>
    </w:lvl>
    <w:lvl w:ilvl="1" w:tplc="A9F46F8A">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71E0F1C"/>
    <w:multiLevelType w:val="hybridMultilevel"/>
    <w:tmpl w:val="CD6074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8C57FF7"/>
    <w:multiLevelType w:val="hybridMultilevel"/>
    <w:tmpl w:val="144C2E7A"/>
    <w:lvl w:ilvl="0" w:tplc="1BA4A14E">
      <w:start w:val="1"/>
      <w:numFmt w:val="bullet"/>
      <w:lvlText w:val=""/>
      <w:lvlJc w:val="left"/>
      <w:pPr>
        <w:tabs>
          <w:tab w:val="num" w:pos="1332"/>
        </w:tabs>
        <w:ind w:left="1332" w:hanging="360"/>
      </w:pPr>
      <w:rPr>
        <w:rFonts w:ascii="Wingdings" w:hAnsi="Wingdings" w:hint="default"/>
        <w:color w:val="0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5"/>
  </w:num>
  <w:num w:numId="4">
    <w:abstractNumId w:val="0"/>
  </w:num>
  <w:num w:numId="5">
    <w:abstractNumId w:val="9"/>
  </w:num>
  <w:num w:numId="6">
    <w:abstractNumId w:val="7"/>
  </w:num>
  <w:num w:numId="7">
    <w:abstractNumId w:val="1"/>
  </w:num>
  <w:num w:numId="8">
    <w:abstractNumId w:val="2"/>
  </w:num>
  <w:num w:numId="9">
    <w:abstractNumId w:val="8"/>
  </w:num>
  <w:num w:numId="10">
    <w:abstractNumId w:val="3"/>
  </w:num>
  <w:num w:numId="11">
    <w:abstractNumId w:val="6"/>
  </w:num>
  <w:num w:numId="12">
    <w:abstractNumId w:val="12"/>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E0E71"/>
    <w:rsid w:val="00022BC0"/>
    <w:rsid w:val="000350A4"/>
    <w:rsid w:val="0004753A"/>
    <w:rsid w:val="00095F8F"/>
    <w:rsid w:val="000B35D8"/>
    <w:rsid w:val="000C125F"/>
    <w:rsid w:val="000E0E71"/>
    <w:rsid w:val="00123D9B"/>
    <w:rsid w:val="00155D01"/>
    <w:rsid w:val="00173285"/>
    <w:rsid w:val="001D16E9"/>
    <w:rsid w:val="00202E77"/>
    <w:rsid w:val="00246313"/>
    <w:rsid w:val="002766A8"/>
    <w:rsid w:val="002B47F5"/>
    <w:rsid w:val="002C1281"/>
    <w:rsid w:val="002E5465"/>
    <w:rsid w:val="002F530C"/>
    <w:rsid w:val="00345F3E"/>
    <w:rsid w:val="003A78C0"/>
    <w:rsid w:val="003E3C35"/>
    <w:rsid w:val="004652DF"/>
    <w:rsid w:val="004714F5"/>
    <w:rsid w:val="00486237"/>
    <w:rsid w:val="004A058B"/>
    <w:rsid w:val="004B36E6"/>
    <w:rsid w:val="004D6B73"/>
    <w:rsid w:val="004E02F8"/>
    <w:rsid w:val="00563A29"/>
    <w:rsid w:val="00570D61"/>
    <w:rsid w:val="0058482A"/>
    <w:rsid w:val="005D6FB0"/>
    <w:rsid w:val="00677358"/>
    <w:rsid w:val="006E3ED6"/>
    <w:rsid w:val="00725459"/>
    <w:rsid w:val="00787044"/>
    <w:rsid w:val="00793D7A"/>
    <w:rsid w:val="007A7B7C"/>
    <w:rsid w:val="00803F39"/>
    <w:rsid w:val="0084526D"/>
    <w:rsid w:val="008918EF"/>
    <w:rsid w:val="0093045D"/>
    <w:rsid w:val="0096317D"/>
    <w:rsid w:val="009942FE"/>
    <w:rsid w:val="009A1237"/>
    <w:rsid w:val="009D65C0"/>
    <w:rsid w:val="00A05770"/>
    <w:rsid w:val="00AD4FD5"/>
    <w:rsid w:val="00BF79A4"/>
    <w:rsid w:val="00C16DA6"/>
    <w:rsid w:val="00C25B47"/>
    <w:rsid w:val="00D73FC8"/>
    <w:rsid w:val="00D92F6B"/>
    <w:rsid w:val="00DC09E0"/>
    <w:rsid w:val="00DC6699"/>
    <w:rsid w:val="00E151D3"/>
    <w:rsid w:val="00E47A30"/>
    <w:rsid w:val="00E91405"/>
    <w:rsid w:val="00ED6F06"/>
    <w:rsid w:val="00F2385D"/>
    <w:rsid w:val="00F6407F"/>
    <w:rsid w:val="00F86909"/>
    <w:rsid w:val="00FC4D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Titre1">
    <w:name w:val="heading 1"/>
    <w:basedOn w:val="Normal"/>
    <w:next w:val="Normal"/>
    <w:link w:val="Titre1Car"/>
    <w:qFormat/>
    <w:rsid w:val="007A7B7C"/>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qFormat/>
    <w:pPr>
      <w:keepNext/>
      <w:jc w:val="both"/>
      <w:outlineLvl w:val="1"/>
    </w:pPr>
    <w:rPr>
      <w:rFonts w:ascii="Arial Narrow" w:hAnsi="Arial Narrow" w:cs="Courier New"/>
      <w:b/>
      <w:bCs/>
      <w:sz w:val="28"/>
      <w:szCs w:val="28"/>
      <w:lang w:val="fr-FR"/>
    </w:rPr>
  </w:style>
  <w:style w:type="paragraph" w:styleId="Titre3">
    <w:name w:val="heading 3"/>
    <w:basedOn w:val="Normal"/>
    <w:next w:val="Normal"/>
    <w:qFormat/>
    <w:pPr>
      <w:keepNext/>
      <w:outlineLvl w:val="2"/>
    </w:pPr>
    <w:rPr>
      <w:rFonts w:ascii="Book Antiqua" w:hAnsi="Book Antiqua" w:cs="Arial"/>
      <w:b/>
      <w:bCs/>
      <w:color w:val="000080"/>
      <w:sz w:val="28"/>
      <w:szCs w:val="28"/>
      <w:lang w:val="fr-FR"/>
    </w:rPr>
  </w:style>
  <w:style w:type="paragraph" w:styleId="Titre4">
    <w:name w:val="heading 4"/>
    <w:basedOn w:val="Normal"/>
    <w:next w:val="Normal"/>
    <w:qFormat/>
    <w:pPr>
      <w:keepNext/>
      <w:jc w:val="center"/>
      <w:outlineLvl w:val="3"/>
    </w:pPr>
    <w:rPr>
      <w:rFonts w:ascii="Arial Narrow" w:hAnsi="Arial Narrow"/>
      <w:b/>
      <w:bCs/>
      <w:color w:val="000080"/>
      <w:lang w:val="fr-FR"/>
    </w:rPr>
  </w:style>
  <w:style w:type="paragraph" w:styleId="Titre5">
    <w:name w:val="heading 5"/>
    <w:basedOn w:val="Normal"/>
    <w:next w:val="Normal"/>
    <w:qFormat/>
    <w:pPr>
      <w:keepNext/>
      <w:jc w:val="both"/>
      <w:outlineLvl w:val="4"/>
    </w:pPr>
    <w:rPr>
      <w:rFonts w:ascii="Arial Narrow" w:hAnsi="Arial Narrow" w:cs="Courier New"/>
      <w:b/>
      <w:bCs/>
      <w:sz w:val="22"/>
      <w:szCs w:val="22"/>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jc w:val="center"/>
    </w:pPr>
    <w:rPr>
      <w:rFonts w:ascii="Book Antiqua" w:hAnsi="Book Antiqua"/>
      <w:b/>
      <w:bCs/>
      <w:sz w:val="32"/>
      <w:szCs w:val="32"/>
      <w:lang w:val="fr-FR"/>
    </w:rPr>
  </w:style>
  <w:style w:type="paragraph" w:styleId="Corpsdetexte">
    <w:name w:val="Body Text"/>
    <w:basedOn w:val="Normal"/>
    <w:pPr>
      <w:jc w:val="both"/>
    </w:pPr>
    <w:rPr>
      <w:rFonts w:ascii="Book Antiqua" w:hAnsi="Book Antiqua"/>
      <w:color w:val="000000"/>
      <w:lang w:val="fr-FR"/>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Book Antiqua" w:hAnsi="Book Antiqua" w:cs="Arial"/>
      <w:b/>
      <w:bCs/>
      <w:color w:val="000080"/>
      <w:sz w:val="32"/>
      <w:szCs w:val="32"/>
      <w:lang w:val="fr-FR"/>
    </w:rPr>
  </w:style>
  <w:style w:type="paragraph" w:styleId="Retraitcorpsdetexte">
    <w:name w:val="Body Text Indent"/>
    <w:basedOn w:val="Normal"/>
    <w:pPr>
      <w:tabs>
        <w:tab w:val="left" w:pos="1260"/>
      </w:tabs>
      <w:ind w:left="1260"/>
    </w:pPr>
    <w:rPr>
      <w:rFonts w:ascii="Book Antiqua" w:hAnsi="Book Antiqua"/>
      <w:lang w:val="fr-FR"/>
    </w:rPr>
  </w:style>
  <w:style w:type="character" w:styleId="Lienhypertexte">
    <w:name w:val="Hyperlink"/>
    <w:basedOn w:val="Policepardfaut"/>
    <w:rsid w:val="002766A8"/>
    <w:rPr>
      <w:color w:val="0000FF"/>
      <w:u w:val="single"/>
    </w:rPr>
  </w:style>
  <w:style w:type="character" w:customStyle="1" w:styleId="Titre1Car">
    <w:name w:val="Titre 1 Car"/>
    <w:basedOn w:val="Policepardfaut"/>
    <w:link w:val="Titre1"/>
    <w:rsid w:val="007A7B7C"/>
    <w:rPr>
      <w:rFonts w:asciiTheme="majorHAnsi" w:eastAsiaTheme="majorEastAsia" w:hAnsiTheme="majorHAnsi" w:cstheme="majorBidi"/>
      <w:b/>
      <w:bCs/>
      <w:kern w:val="32"/>
      <w:sz w:val="32"/>
      <w:szCs w:val="32"/>
      <w:lang w:val="en-GB"/>
    </w:rPr>
  </w:style>
  <w:style w:type="paragraph" w:styleId="Textedebulles">
    <w:name w:val="Balloon Text"/>
    <w:basedOn w:val="Normal"/>
    <w:link w:val="TextedebullesCar"/>
    <w:rsid w:val="00D73FC8"/>
    <w:rPr>
      <w:rFonts w:ascii="Tahoma" w:hAnsi="Tahoma" w:cs="Tahoma"/>
      <w:sz w:val="16"/>
      <w:szCs w:val="16"/>
    </w:rPr>
  </w:style>
  <w:style w:type="character" w:customStyle="1" w:styleId="TextedebullesCar">
    <w:name w:val="Texte de bulles Car"/>
    <w:basedOn w:val="Policepardfaut"/>
    <w:link w:val="Textedebulles"/>
    <w:rsid w:val="00D73FC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Programme visite royale</vt:lpstr>
    </vt:vector>
  </TitlesOfParts>
  <Company>onda</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visite royale</dc:title>
  <dc:subject/>
  <dc:creator>z.ouldelmaalem</dc:creator>
  <cp:keywords/>
  <dc:description/>
  <cp:lastModifiedBy>j.bekkali</cp:lastModifiedBy>
  <cp:revision>2</cp:revision>
  <cp:lastPrinted>2007-03-20T16:13:00Z</cp:lastPrinted>
  <dcterms:created xsi:type="dcterms:W3CDTF">2013-08-01T09:56:00Z</dcterms:created>
  <dcterms:modified xsi:type="dcterms:W3CDTF">2013-08-01T09:56:00Z</dcterms:modified>
</cp:coreProperties>
</file>