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06" w:rsidRDefault="00ED6F06">
      <w:pPr>
        <w:pStyle w:val="Retraitcorpsdetexte"/>
        <w:tabs>
          <w:tab w:val="clear" w:pos="1260"/>
          <w:tab w:val="left" w:pos="0"/>
        </w:tabs>
        <w:ind w:left="0"/>
        <w:rPr>
          <w:b/>
          <w:bCs/>
          <w:color w:val="000080"/>
        </w:rPr>
      </w:pPr>
    </w:p>
    <w:p w:rsidR="00677358" w:rsidRPr="00677358" w:rsidRDefault="00677358" w:rsidP="00677358">
      <w:pPr>
        <w:jc w:val="both"/>
        <w:rPr>
          <w:rFonts w:ascii="Calibri" w:hAnsi="Calibri" w:cs="Calibri"/>
          <w:lang w:val="fr-FR"/>
        </w:rPr>
      </w:pPr>
    </w:p>
    <w:p w:rsidR="00677358" w:rsidRDefault="00677358" w:rsidP="00677358">
      <w:pPr>
        <w:jc w:val="both"/>
        <w:rPr>
          <w:rFonts w:ascii="Calibri" w:hAnsi="Calibri" w:cs="Calibri"/>
          <w:lang w:val="fr-FR"/>
        </w:rPr>
      </w:pPr>
    </w:p>
    <w:p w:rsidR="006A2334" w:rsidRPr="006A2334" w:rsidRDefault="006A2334" w:rsidP="006A2334">
      <w:pPr>
        <w:pStyle w:val="Retraitcorpsdetexte"/>
        <w:tabs>
          <w:tab w:val="clear" w:pos="1260"/>
          <w:tab w:val="left" w:pos="0"/>
        </w:tabs>
        <w:ind w:left="0"/>
        <w:jc w:val="center"/>
        <w:rPr>
          <w:b/>
          <w:bCs/>
          <w:color w:val="000080"/>
          <w:sz w:val="40"/>
          <w:szCs w:val="40"/>
        </w:rPr>
      </w:pPr>
      <w:bookmarkStart w:id="0" w:name="_Toc135465889"/>
      <w:bookmarkStart w:id="1" w:name="_Toc135466646"/>
      <w:bookmarkStart w:id="2" w:name="_Toc135808657"/>
      <w:bookmarkStart w:id="3" w:name="_Toc135808773"/>
      <w:bookmarkStart w:id="4" w:name="_Toc136065941"/>
      <w:bookmarkStart w:id="5" w:name="_Toc136066058"/>
      <w:bookmarkStart w:id="6" w:name="_Toc136163281"/>
      <w:bookmarkStart w:id="7" w:name="_Toc136767581"/>
      <w:bookmarkStart w:id="8" w:name="_Toc136767841"/>
      <w:bookmarkStart w:id="9" w:name="_Toc137011920"/>
      <w:bookmarkStart w:id="10" w:name="_Toc137035802"/>
      <w:bookmarkStart w:id="11" w:name="_Toc137039335"/>
      <w:bookmarkStart w:id="12" w:name="_Toc139855442"/>
      <w:bookmarkStart w:id="13" w:name="_Toc139868153"/>
      <w:bookmarkStart w:id="14" w:name="_Toc140303907"/>
      <w:bookmarkStart w:id="15" w:name="_Toc150320842"/>
      <w:r w:rsidRPr="006A2334">
        <w:rPr>
          <w:b/>
          <w:bCs/>
          <w:color w:val="000080"/>
          <w:sz w:val="40"/>
          <w:szCs w:val="40"/>
        </w:rPr>
        <w:t>FORMES DES CONVENTIONS ET MODES DE LEUR PASSATION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6A2334" w:rsidRPr="006A2334" w:rsidRDefault="006A2334" w:rsidP="006A2334">
      <w:pPr>
        <w:jc w:val="both"/>
        <w:rPr>
          <w:rFonts w:ascii="Calibri" w:hAnsi="Calibri" w:cs="Calibri"/>
          <w:b/>
          <w:lang w:val="fr-FR"/>
        </w:rPr>
      </w:pPr>
    </w:p>
    <w:p w:rsidR="006A2334" w:rsidRPr="006A2334" w:rsidRDefault="006A2334" w:rsidP="006A2334">
      <w:pPr>
        <w:pStyle w:val="Titre1"/>
        <w:rPr>
          <w:rFonts w:ascii="Calibri" w:hAnsi="Calibri" w:cs="Calibri"/>
          <w:lang w:val="fr-FR"/>
        </w:rPr>
      </w:pPr>
      <w:bookmarkStart w:id="16" w:name="_Toc135465890"/>
      <w:bookmarkStart w:id="17" w:name="_Toc135466647"/>
      <w:bookmarkStart w:id="18" w:name="_Toc135808658"/>
      <w:bookmarkStart w:id="19" w:name="_Toc135808774"/>
      <w:bookmarkStart w:id="20" w:name="_Toc136065942"/>
      <w:bookmarkStart w:id="21" w:name="_Toc136066059"/>
      <w:bookmarkStart w:id="22" w:name="_Toc136163282"/>
      <w:bookmarkStart w:id="23" w:name="_Toc136767582"/>
      <w:bookmarkStart w:id="24" w:name="_Toc136767842"/>
      <w:bookmarkStart w:id="25" w:name="_Toc137011921"/>
      <w:bookmarkStart w:id="26" w:name="_Toc137035803"/>
      <w:bookmarkStart w:id="27" w:name="_Toc137039336"/>
      <w:bookmarkStart w:id="28" w:name="_Toc139855443"/>
      <w:bookmarkStart w:id="29" w:name="_Toc139868154"/>
      <w:bookmarkStart w:id="30" w:name="_Toc140303908"/>
      <w:bookmarkStart w:id="31" w:name="_Toc150320843"/>
      <w:r w:rsidRPr="006A2334">
        <w:rPr>
          <w:rFonts w:ascii="Calibri" w:hAnsi="Calibri" w:cs="Calibri"/>
          <w:bCs w:val="0"/>
          <w:lang w:val="fr-FR"/>
        </w:rPr>
        <w:t>Forme et contenu des conventions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6A2334" w:rsidRPr="006A2334" w:rsidRDefault="006A2334" w:rsidP="006A2334">
      <w:pPr>
        <w:jc w:val="both"/>
        <w:rPr>
          <w:rFonts w:ascii="Calibri" w:hAnsi="Calibri" w:cs="Calibri"/>
          <w:lang w:val="fr-FR"/>
        </w:rPr>
      </w:pPr>
    </w:p>
    <w:p w:rsidR="006A2334" w:rsidRPr="006A2334" w:rsidRDefault="006A2334" w:rsidP="006A2334">
      <w:pPr>
        <w:jc w:val="both"/>
        <w:rPr>
          <w:rFonts w:ascii="Calibri" w:hAnsi="Calibri" w:cs="Calibri"/>
          <w:lang w:val="fr-FR"/>
        </w:rPr>
      </w:pPr>
      <w:r w:rsidRPr="006A2334">
        <w:rPr>
          <w:rFonts w:ascii="Calibri" w:hAnsi="Calibri" w:cs="Calibri"/>
          <w:lang w:val="fr-FR"/>
        </w:rPr>
        <w:t xml:space="preserve">A- Les conventions sont des contrats écrits dont les cahiers des charges précisent les conditions dans lesquelles les conventions sont exécutées. Ces contrats fixent les dispositions administratives et techniques applicables à toutes les conventions </w:t>
      </w:r>
    </w:p>
    <w:p w:rsidR="006A2334" w:rsidRDefault="006A2334" w:rsidP="006A2334">
      <w:pPr>
        <w:jc w:val="both"/>
        <w:rPr>
          <w:rFonts w:ascii="Calibri" w:hAnsi="Calibri" w:cs="Calibri"/>
        </w:rPr>
      </w:pPr>
      <w:r w:rsidRPr="005B1592">
        <w:rPr>
          <w:rFonts w:ascii="Calibri" w:hAnsi="Calibri" w:cs="Calibri"/>
        </w:rPr>
        <w:t>Les conventions peuvent c</w:t>
      </w:r>
      <w:r>
        <w:rPr>
          <w:rFonts w:ascii="Calibri" w:hAnsi="Calibri" w:cs="Calibri"/>
        </w:rPr>
        <w:t>o</w:t>
      </w:r>
      <w:r w:rsidRPr="005B1592">
        <w:rPr>
          <w:rFonts w:ascii="Calibri" w:hAnsi="Calibri" w:cs="Calibri"/>
        </w:rPr>
        <w:t>ntenir :</w:t>
      </w:r>
    </w:p>
    <w:p w:rsidR="006A2334" w:rsidRPr="002B0D54" w:rsidRDefault="006A2334" w:rsidP="006A2334">
      <w:pPr>
        <w:numPr>
          <w:ilvl w:val="0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 xml:space="preserve">Articles principaux : </w:t>
      </w:r>
    </w:p>
    <w:p w:rsidR="006A2334" w:rsidRPr="002B0D5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>Consistance de l’autorisation</w:t>
      </w:r>
    </w:p>
    <w:p w:rsidR="006A2334" w:rsidRPr="002B0D5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>Durée et date d’effet</w:t>
      </w:r>
    </w:p>
    <w:p w:rsidR="006A2334" w:rsidRPr="002B0D5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>Superficie</w:t>
      </w:r>
    </w:p>
    <w:p w:rsidR="006A2334" w:rsidRPr="006A233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  <w:lang w:val="fr-FR"/>
        </w:rPr>
      </w:pPr>
      <w:r w:rsidRPr="006A2334">
        <w:rPr>
          <w:rFonts w:ascii="Calibri" w:hAnsi="Calibri" w:cs="Calibri"/>
          <w:bCs/>
          <w:lang w:val="fr-FR"/>
        </w:rPr>
        <w:t>Redevances (domaniale et/ou commerciale)</w:t>
      </w:r>
    </w:p>
    <w:p w:rsidR="006A2334" w:rsidRPr="002B0D5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>Modalité de paiement</w:t>
      </w:r>
    </w:p>
    <w:p w:rsidR="006A233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>Dépôt de garantie</w:t>
      </w:r>
    </w:p>
    <w:p w:rsidR="006A2334" w:rsidRPr="002B0D54" w:rsidRDefault="006A2334" w:rsidP="006A2334">
      <w:pPr>
        <w:ind w:left="1080"/>
        <w:jc w:val="both"/>
        <w:rPr>
          <w:rFonts w:ascii="Calibri" w:hAnsi="Calibri" w:cs="Calibri"/>
          <w:bCs/>
        </w:rPr>
      </w:pPr>
    </w:p>
    <w:p w:rsidR="006A2334" w:rsidRPr="002B0D54" w:rsidRDefault="006A2334" w:rsidP="006A2334">
      <w:pPr>
        <w:numPr>
          <w:ilvl w:val="0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>Articles standards</w:t>
      </w:r>
      <w:r>
        <w:rPr>
          <w:rFonts w:ascii="Calibri" w:hAnsi="Calibri" w:cs="Calibri"/>
          <w:bCs/>
        </w:rPr>
        <w:t> :</w:t>
      </w:r>
    </w:p>
    <w:p w:rsidR="006A2334" w:rsidRPr="006A233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  <w:lang w:val="fr-FR"/>
        </w:rPr>
      </w:pPr>
      <w:r w:rsidRPr="006A2334">
        <w:rPr>
          <w:rFonts w:ascii="Calibri" w:hAnsi="Calibri" w:cs="Calibri"/>
          <w:bCs/>
          <w:lang w:val="fr-FR"/>
        </w:rPr>
        <w:t xml:space="preserve">Non-réduction des redevances pour cas fortuits </w:t>
      </w:r>
    </w:p>
    <w:p w:rsidR="006A2334" w:rsidRPr="002B0D5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>Pénalités de retard</w:t>
      </w:r>
    </w:p>
    <w:p w:rsidR="006A2334" w:rsidRPr="002B0D54" w:rsidRDefault="006A2334" w:rsidP="006A2334">
      <w:pPr>
        <w:numPr>
          <w:ilvl w:val="1"/>
          <w:numId w:val="15"/>
        </w:numPr>
        <w:ind w:right="-425"/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>Horaires d’ouverture et de fermeture</w:t>
      </w:r>
    </w:p>
    <w:p w:rsidR="006A2334" w:rsidRPr="002B0D5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>Exclusivités non garanties</w:t>
      </w:r>
    </w:p>
    <w:p w:rsidR="006A2334" w:rsidRPr="002B0D5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 xml:space="preserve">Conditions de vente </w:t>
      </w:r>
    </w:p>
    <w:p w:rsidR="006A2334" w:rsidRPr="002B0D54" w:rsidRDefault="006A2334" w:rsidP="006A2334">
      <w:pPr>
        <w:pStyle w:val="Corpsdetexte2"/>
        <w:numPr>
          <w:ilvl w:val="1"/>
          <w:numId w:val="15"/>
        </w:numPr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2B0D54">
        <w:rPr>
          <w:rFonts w:ascii="Calibri" w:hAnsi="Calibri" w:cs="Calibri"/>
          <w:b w:val="0"/>
          <w:sz w:val="24"/>
          <w:szCs w:val="24"/>
        </w:rPr>
        <w:t xml:space="preserve">Réclamations et suggestions des clients </w:t>
      </w:r>
    </w:p>
    <w:p w:rsidR="006A2334" w:rsidRPr="002B0D54" w:rsidRDefault="006A2334" w:rsidP="006A2334">
      <w:pPr>
        <w:numPr>
          <w:ilvl w:val="1"/>
          <w:numId w:val="15"/>
        </w:numPr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>Mobilier et matériel</w:t>
      </w:r>
    </w:p>
    <w:p w:rsidR="006A2334" w:rsidRPr="002B0D54" w:rsidRDefault="006A2334" w:rsidP="006A2334">
      <w:pPr>
        <w:pStyle w:val="Corpsdetexte2"/>
        <w:numPr>
          <w:ilvl w:val="1"/>
          <w:numId w:val="15"/>
        </w:numPr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2B0D54">
        <w:rPr>
          <w:rFonts w:ascii="Calibri" w:hAnsi="Calibri" w:cs="Calibri"/>
          <w:b w:val="0"/>
          <w:sz w:val="24"/>
          <w:szCs w:val="24"/>
        </w:rPr>
        <w:t>Personnel  du titulaire</w:t>
      </w:r>
    </w:p>
    <w:p w:rsidR="006A2334" w:rsidRPr="002B0D5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 xml:space="preserve">Interdiction de nuire </w:t>
      </w:r>
    </w:p>
    <w:p w:rsidR="006A2334" w:rsidRPr="006A2334" w:rsidRDefault="006A2334" w:rsidP="006A2334">
      <w:pPr>
        <w:numPr>
          <w:ilvl w:val="1"/>
          <w:numId w:val="15"/>
        </w:numPr>
        <w:ind w:right="-114"/>
        <w:rPr>
          <w:rFonts w:ascii="Calibri" w:hAnsi="Calibri" w:cs="Calibri"/>
          <w:bCs/>
          <w:lang w:val="fr-FR"/>
        </w:rPr>
      </w:pPr>
      <w:r w:rsidRPr="006A2334">
        <w:rPr>
          <w:rFonts w:ascii="Calibri" w:hAnsi="Calibri" w:cs="Calibri"/>
          <w:bCs/>
          <w:lang w:val="fr-FR"/>
        </w:rPr>
        <w:t xml:space="preserve">Contrôle de l’usage des autorisations – inspection et surveillance </w:t>
      </w:r>
    </w:p>
    <w:p w:rsidR="006A2334" w:rsidRPr="006A233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  <w:lang w:val="fr-FR"/>
        </w:rPr>
      </w:pPr>
      <w:r w:rsidRPr="006A2334">
        <w:rPr>
          <w:rFonts w:ascii="Calibri" w:hAnsi="Calibri" w:cs="Calibri"/>
          <w:bCs/>
          <w:lang w:val="fr-FR"/>
        </w:rPr>
        <w:t>Usage des autorisations - interdiction de modifier l’utilisation prévue ou sous traiter et céder</w:t>
      </w:r>
    </w:p>
    <w:p w:rsidR="006A2334" w:rsidRPr="002B0D54" w:rsidRDefault="006A2334" w:rsidP="006A2334">
      <w:pPr>
        <w:numPr>
          <w:ilvl w:val="1"/>
          <w:numId w:val="15"/>
        </w:numPr>
        <w:ind w:right="-568"/>
        <w:rPr>
          <w:rFonts w:ascii="Calibri" w:hAnsi="Calibri" w:cs="Calibri"/>
          <w:bCs/>
          <w:rtl/>
        </w:rPr>
      </w:pPr>
      <w:r w:rsidRPr="006A2334">
        <w:rPr>
          <w:rFonts w:ascii="Calibri" w:hAnsi="Calibri" w:cs="Calibri"/>
          <w:bCs/>
          <w:lang w:val="fr-FR"/>
        </w:rPr>
        <w:t>Caractère personnel des autorisations interdiction de céder</w:t>
      </w:r>
    </w:p>
    <w:p w:rsidR="006A2334" w:rsidRPr="002B0D5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 xml:space="preserve">Etat des lieux et inventaires </w:t>
      </w:r>
    </w:p>
    <w:p w:rsidR="006A2334" w:rsidRPr="002B0D5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>Entretien des biens attribués</w:t>
      </w:r>
    </w:p>
    <w:p w:rsidR="006A233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 xml:space="preserve">Nettoyage </w:t>
      </w:r>
    </w:p>
    <w:p w:rsidR="006A2334" w:rsidRPr="002B0D54" w:rsidRDefault="006A2334" w:rsidP="006A2334">
      <w:pPr>
        <w:numPr>
          <w:ilvl w:val="1"/>
          <w:numId w:val="15"/>
        </w:numPr>
        <w:ind w:right="-425"/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>Comptabilité -vérification et pénalités</w:t>
      </w:r>
    </w:p>
    <w:p w:rsidR="006A2334" w:rsidRPr="002B0D54" w:rsidRDefault="006A2334" w:rsidP="006A2334">
      <w:pPr>
        <w:numPr>
          <w:ilvl w:val="1"/>
          <w:numId w:val="15"/>
        </w:numPr>
        <w:ind w:right="-425"/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>Renseignements statistiques</w:t>
      </w:r>
    </w:p>
    <w:p w:rsidR="006A2334" w:rsidRPr="002B0D5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lastRenderedPageBreak/>
        <w:t>Qualité de service</w:t>
      </w:r>
    </w:p>
    <w:p w:rsidR="006A2334" w:rsidRPr="002B0D5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  <w:rtl/>
        </w:rPr>
      </w:pPr>
      <w:r w:rsidRPr="002B0D54">
        <w:rPr>
          <w:rFonts w:ascii="Calibri" w:hAnsi="Calibri" w:cs="Calibri"/>
          <w:bCs/>
        </w:rPr>
        <w:t>Approvisionnement</w:t>
      </w:r>
    </w:p>
    <w:p w:rsidR="006A2334" w:rsidRPr="006A233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  <w:lang w:val="fr-FR"/>
        </w:rPr>
      </w:pPr>
      <w:r w:rsidRPr="006A2334">
        <w:rPr>
          <w:rFonts w:ascii="Calibri" w:hAnsi="Calibri" w:cs="Calibri"/>
          <w:bCs/>
          <w:lang w:val="fr-FR"/>
        </w:rPr>
        <w:t>Pénalités pour non-respect des consignes</w:t>
      </w:r>
    </w:p>
    <w:p w:rsidR="006A2334" w:rsidRPr="002B0D54" w:rsidRDefault="006A2334" w:rsidP="006A2334">
      <w:pPr>
        <w:pStyle w:val="Retraitcorpsdetexte21"/>
        <w:numPr>
          <w:ilvl w:val="1"/>
          <w:numId w:val="15"/>
        </w:numPr>
        <w:spacing w:before="0" w:after="0"/>
        <w:rPr>
          <w:rFonts w:ascii="Calibri" w:hAnsi="Calibri" w:cs="Calibri"/>
          <w:b w:val="0"/>
          <w:bCs/>
          <w:sz w:val="24"/>
          <w:szCs w:val="24"/>
          <w:u w:val="none"/>
        </w:rPr>
      </w:pPr>
      <w:r w:rsidRPr="002B0D54">
        <w:rPr>
          <w:rFonts w:ascii="Calibri" w:hAnsi="Calibri" w:cs="Calibri"/>
          <w:b w:val="0"/>
          <w:bCs/>
          <w:sz w:val="24"/>
          <w:szCs w:val="24"/>
          <w:u w:val="none"/>
        </w:rPr>
        <w:t>Exécution des travaux par l’ONDA, reprise totale ou partielle des lieux attribués dans l’intérêt du service public</w:t>
      </w:r>
    </w:p>
    <w:p w:rsidR="006A2334" w:rsidRPr="006A2334" w:rsidRDefault="006A2334" w:rsidP="006A2334">
      <w:pPr>
        <w:numPr>
          <w:ilvl w:val="1"/>
          <w:numId w:val="15"/>
        </w:numPr>
        <w:rPr>
          <w:rFonts w:ascii="Calibri" w:hAnsi="Calibri" w:cs="Calibri"/>
          <w:bCs/>
          <w:lang w:val="fr-FR"/>
        </w:rPr>
      </w:pPr>
      <w:r w:rsidRPr="006A2334">
        <w:rPr>
          <w:rFonts w:ascii="Calibri" w:hAnsi="Calibri" w:cs="Calibri"/>
          <w:bCs/>
          <w:lang w:val="fr-FR"/>
        </w:rPr>
        <w:t xml:space="preserve">Modifications par le titulaire des biens mis a sa disposition  </w:t>
      </w:r>
    </w:p>
    <w:p w:rsidR="006A2334" w:rsidRPr="002B0D54" w:rsidRDefault="006A2334" w:rsidP="006A2334">
      <w:pPr>
        <w:pStyle w:val="Retraitcorpsdetexte21"/>
        <w:numPr>
          <w:ilvl w:val="1"/>
          <w:numId w:val="15"/>
        </w:numPr>
        <w:spacing w:before="0" w:after="0"/>
        <w:rPr>
          <w:rFonts w:ascii="Calibri" w:hAnsi="Calibri" w:cs="Calibri"/>
          <w:b w:val="0"/>
          <w:bCs/>
          <w:sz w:val="24"/>
          <w:szCs w:val="24"/>
          <w:u w:val="none"/>
        </w:rPr>
      </w:pPr>
      <w:r w:rsidRPr="002B0D54">
        <w:rPr>
          <w:rFonts w:ascii="Calibri" w:hAnsi="Calibri" w:cs="Calibri"/>
          <w:b w:val="0"/>
          <w:bCs/>
          <w:sz w:val="24"/>
          <w:szCs w:val="24"/>
          <w:u w:val="none"/>
        </w:rPr>
        <w:t>Impôts et taxes</w:t>
      </w:r>
    </w:p>
    <w:p w:rsidR="006A2334" w:rsidRPr="002B0D54" w:rsidRDefault="006A2334" w:rsidP="006A2334">
      <w:pPr>
        <w:pStyle w:val="Retraitcorpsdetexte21"/>
        <w:numPr>
          <w:ilvl w:val="1"/>
          <w:numId w:val="15"/>
        </w:numPr>
        <w:spacing w:before="0" w:after="0"/>
        <w:rPr>
          <w:rFonts w:ascii="Calibri" w:hAnsi="Calibri" w:cs="Calibri"/>
          <w:b w:val="0"/>
          <w:bCs/>
          <w:sz w:val="24"/>
          <w:szCs w:val="24"/>
          <w:u w:val="none"/>
        </w:rPr>
      </w:pPr>
      <w:r w:rsidRPr="002B0D54">
        <w:rPr>
          <w:rFonts w:ascii="Calibri" w:hAnsi="Calibri" w:cs="Calibri"/>
          <w:b w:val="0"/>
          <w:bCs/>
          <w:sz w:val="24"/>
          <w:szCs w:val="24"/>
          <w:u w:val="none"/>
        </w:rPr>
        <w:t>Responsabilité – assurance</w:t>
      </w:r>
    </w:p>
    <w:p w:rsidR="006A2334" w:rsidRPr="002B0D5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>Affichage et publicité</w:t>
      </w:r>
    </w:p>
    <w:p w:rsidR="006A2334" w:rsidRPr="002B0D5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>Prohibitions diverses</w:t>
      </w:r>
    </w:p>
    <w:p w:rsidR="006A2334" w:rsidRPr="006A233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  <w:lang w:val="fr-FR"/>
        </w:rPr>
      </w:pPr>
      <w:r w:rsidRPr="006A2334">
        <w:rPr>
          <w:rFonts w:ascii="Calibri" w:hAnsi="Calibri" w:cs="Calibri"/>
          <w:bCs/>
          <w:lang w:val="fr-FR"/>
        </w:rPr>
        <w:t xml:space="preserve">Reprise du matériel et mobilier en fin d’occupation </w:t>
      </w:r>
    </w:p>
    <w:p w:rsidR="006A2334" w:rsidRPr="002B0D5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  <w:rtl/>
        </w:rPr>
      </w:pPr>
      <w:r w:rsidRPr="002B0D54">
        <w:rPr>
          <w:rFonts w:ascii="Calibri" w:hAnsi="Calibri" w:cs="Calibri"/>
          <w:bCs/>
        </w:rPr>
        <w:t>Cas spéciaux de révocation </w:t>
      </w:r>
    </w:p>
    <w:p w:rsidR="006A2334" w:rsidRPr="006A233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  <w:lang w:val="fr-FR"/>
        </w:rPr>
      </w:pPr>
      <w:r w:rsidRPr="006A2334">
        <w:rPr>
          <w:rFonts w:ascii="Calibri" w:hAnsi="Calibri" w:cs="Calibri"/>
          <w:bCs/>
          <w:lang w:val="fr-FR"/>
        </w:rPr>
        <w:t>Cas de révocation à titre de sanction</w:t>
      </w:r>
    </w:p>
    <w:p w:rsidR="006A2334" w:rsidRPr="002B0D5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>Cas de résiliation</w:t>
      </w:r>
    </w:p>
    <w:p w:rsidR="006A2334" w:rsidRPr="006A233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  <w:lang w:val="fr-FR"/>
        </w:rPr>
      </w:pPr>
      <w:r w:rsidRPr="006A2334">
        <w:rPr>
          <w:rFonts w:ascii="Calibri" w:hAnsi="Calibri" w:cs="Calibri"/>
          <w:bCs/>
          <w:lang w:val="fr-FR"/>
        </w:rPr>
        <w:t>Evacuation des lieux occupés en fin d’occupation</w:t>
      </w:r>
    </w:p>
    <w:p w:rsidR="006A2334" w:rsidRPr="002B0D5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>Dispositions légales et réglementaires</w:t>
      </w:r>
    </w:p>
    <w:p w:rsidR="006A2334" w:rsidRPr="006A2334" w:rsidRDefault="006A2334" w:rsidP="006A2334">
      <w:pPr>
        <w:numPr>
          <w:ilvl w:val="1"/>
          <w:numId w:val="15"/>
        </w:numPr>
        <w:ind w:right="-283"/>
        <w:jc w:val="both"/>
        <w:rPr>
          <w:rFonts w:ascii="Calibri" w:hAnsi="Calibri" w:cs="Calibri"/>
          <w:bCs/>
          <w:lang w:val="fr-FR"/>
        </w:rPr>
      </w:pPr>
      <w:r w:rsidRPr="006A2334">
        <w:rPr>
          <w:rFonts w:ascii="Calibri" w:hAnsi="Calibri" w:cs="Calibri"/>
          <w:bCs/>
          <w:lang w:val="fr-FR"/>
        </w:rPr>
        <w:t xml:space="preserve">Observation des lois, règlements, mesure de police, consignes </w:t>
      </w:r>
    </w:p>
    <w:p w:rsidR="006A2334" w:rsidRPr="002B0D54" w:rsidRDefault="006A2334" w:rsidP="006A2334">
      <w:pPr>
        <w:numPr>
          <w:ilvl w:val="1"/>
          <w:numId w:val="15"/>
        </w:numPr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>Clauses de sûreté</w:t>
      </w:r>
    </w:p>
    <w:p w:rsidR="006A2334" w:rsidRPr="002B0D5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>Validité de l’engagement</w:t>
      </w:r>
    </w:p>
    <w:p w:rsidR="006A2334" w:rsidRPr="002B0D5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>Compétence juridictionnelle</w:t>
      </w:r>
    </w:p>
    <w:p w:rsidR="006A2334" w:rsidRPr="002B0D54" w:rsidRDefault="006A2334" w:rsidP="006A2334">
      <w:pPr>
        <w:numPr>
          <w:ilvl w:val="1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>Frais</w:t>
      </w:r>
    </w:p>
    <w:p w:rsidR="006A2334" w:rsidRPr="006A2334" w:rsidRDefault="006A2334" w:rsidP="006A2334">
      <w:pPr>
        <w:numPr>
          <w:ilvl w:val="1"/>
          <w:numId w:val="15"/>
        </w:numPr>
        <w:ind w:right="-425"/>
        <w:jc w:val="both"/>
        <w:rPr>
          <w:rFonts w:ascii="Calibri" w:hAnsi="Calibri" w:cs="Calibri"/>
          <w:bCs/>
          <w:lang w:val="fr-FR"/>
        </w:rPr>
      </w:pPr>
      <w:r w:rsidRPr="006A2334">
        <w:rPr>
          <w:rFonts w:ascii="Calibri" w:hAnsi="Calibri" w:cs="Calibri"/>
          <w:bCs/>
          <w:lang w:val="fr-FR"/>
        </w:rPr>
        <w:t>Caractères des clauses de la présente convention</w:t>
      </w:r>
    </w:p>
    <w:p w:rsidR="006A2334" w:rsidRPr="002B0D54" w:rsidRDefault="006A2334" w:rsidP="006A2334">
      <w:pPr>
        <w:numPr>
          <w:ilvl w:val="1"/>
          <w:numId w:val="15"/>
        </w:numPr>
        <w:ind w:right="-425"/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 xml:space="preserve">Autres. </w:t>
      </w:r>
    </w:p>
    <w:p w:rsidR="006A2334" w:rsidRPr="002B0D54" w:rsidRDefault="006A2334" w:rsidP="006A2334">
      <w:pPr>
        <w:ind w:right="-425"/>
        <w:jc w:val="both"/>
        <w:rPr>
          <w:rFonts w:ascii="Calibri" w:hAnsi="Calibri" w:cs="Calibri"/>
          <w:bCs/>
        </w:rPr>
      </w:pPr>
    </w:p>
    <w:p w:rsidR="006A2334" w:rsidRPr="002B0D54" w:rsidRDefault="006A2334" w:rsidP="006A2334">
      <w:pPr>
        <w:numPr>
          <w:ilvl w:val="0"/>
          <w:numId w:val="15"/>
        </w:numPr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>Articles spécifiques</w:t>
      </w:r>
      <w:r>
        <w:rPr>
          <w:rFonts w:ascii="Calibri" w:hAnsi="Calibri" w:cs="Calibri"/>
          <w:bCs/>
        </w:rPr>
        <w:t> :</w:t>
      </w:r>
    </w:p>
    <w:p w:rsidR="006A2334" w:rsidRPr="006A2334" w:rsidRDefault="006A2334" w:rsidP="006A2334">
      <w:pPr>
        <w:ind w:firstLine="360"/>
        <w:jc w:val="both"/>
        <w:rPr>
          <w:rFonts w:ascii="Calibri" w:hAnsi="Calibri" w:cs="Calibri"/>
          <w:lang w:val="fr-FR"/>
        </w:rPr>
      </w:pPr>
      <w:r w:rsidRPr="006A2334">
        <w:rPr>
          <w:rFonts w:ascii="Calibri" w:hAnsi="Calibri" w:cs="Calibri"/>
          <w:lang w:val="fr-FR"/>
        </w:rPr>
        <w:t>Les articles ci-dessous figurent exclusivement sur les conventions à base de redevance commerciale variable :</w:t>
      </w:r>
    </w:p>
    <w:p w:rsidR="006A2334" w:rsidRPr="006A2334" w:rsidRDefault="006A2334" w:rsidP="006A2334">
      <w:pPr>
        <w:ind w:left="-284" w:right="-425"/>
        <w:jc w:val="both"/>
        <w:rPr>
          <w:b/>
          <w:bCs/>
          <w:u w:val="single"/>
          <w:lang w:val="fr-FR"/>
        </w:rPr>
      </w:pPr>
    </w:p>
    <w:p w:rsidR="006A2334" w:rsidRPr="002B0D54" w:rsidRDefault="006A2334" w:rsidP="006A2334">
      <w:pPr>
        <w:numPr>
          <w:ilvl w:val="1"/>
          <w:numId w:val="15"/>
        </w:numPr>
        <w:ind w:right="-425"/>
        <w:jc w:val="both"/>
        <w:rPr>
          <w:rFonts w:ascii="Calibri" w:hAnsi="Calibri" w:cs="Calibri"/>
          <w:bCs/>
        </w:rPr>
      </w:pPr>
      <w:r w:rsidRPr="002B0D54">
        <w:rPr>
          <w:rFonts w:ascii="Calibri" w:hAnsi="Calibri" w:cs="Calibri"/>
          <w:bCs/>
        </w:rPr>
        <w:t xml:space="preserve">Relevé mensuel du chiffre d’affaires </w:t>
      </w:r>
    </w:p>
    <w:p w:rsidR="006A2334" w:rsidRPr="006A2334" w:rsidRDefault="006A2334" w:rsidP="006A2334">
      <w:pPr>
        <w:numPr>
          <w:ilvl w:val="1"/>
          <w:numId w:val="15"/>
        </w:numPr>
        <w:ind w:right="-425"/>
        <w:jc w:val="both"/>
        <w:rPr>
          <w:rFonts w:ascii="Calibri" w:hAnsi="Calibri" w:cs="Calibri"/>
          <w:bCs/>
          <w:lang w:val="fr-FR"/>
        </w:rPr>
      </w:pPr>
      <w:r w:rsidRPr="006A2334">
        <w:rPr>
          <w:rFonts w:ascii="Calibri" w:hAnsi="Calibri" w:cs="Calibri"/>
          <w:bCs/>
          <w:lang w:val="fr-FR"/>
        </w:rPr>
        <w:t>Système informatique ONDA pour facturation des concessions    </w:t>
      </w:r>
    </w:p>
    <w:p w:rsidR="006A2334" w:rsidRPr="006A2334" w:rsidRDefault="006A2334" w:rsidP="006A2334">
      <w:pPr>
        <w:ind w:left="1080" w:right="-425"/>
        <w:jc w:val="both"/>
        <w:rPr>
          <w:rFonts w:ascii="Calibri" w:hAnsi="Calibri" w:cs="Calibri"/>
          <w:bCs/>
          <w:color w:val="FF0000"/>
          <w:lang w:val="fr-FR"/>
        </w:rPr>
      </w:pPr>
    </w:p>
    <w:p w:rsidR="006A2334" w:rsidRPr="006A2334" w:rsidRDefault="006A2334" w:rsidP="006A2334">
      <w:pPr>
        <w:jc w:val="both"/>
        <w:rPr>
          <w:rFonts w:ascii="Calibri" w:hAnsi="Calibri" w:cs="Calibri"/>
          <w:lang w:val="fr-FR"/>
        </w:rPr>
      </w:pPr>
      <w:r w:rsidRPr="006A2334">
        <w:rPr>
          <w:rFonts w:ascii="Calibri" w:hAnsi="Calibri" w:cs="Calibri"/>
          <w:lang w:val="fr-FR"/>
        </w:rPr>
        <w:t>Les conventions doivent contenir au moins les mentions suivantes :</w:t>
      </w:r>
    </w:p>
    <w:p w:rsidR="006A2334" w:rsidRPr="006A2334" w:rsidRDefault="006A2334" w:rsidP="006A2334">
      <w:pPr>
        <w:jc w:val="both"/>
        <w:rPr>
          <w:rFonts w:ascii="Calibri" w:hAnsi="Calibri" w:cs="Calibri"/>
          <w:lang w:val="fr-FR"/>
        </w:rPr>
      </w:pPr>
    </w:p>
    <w:p w:rsidR="006A2334" w:rsidRPr="006A2334" w:rsidRDefault="006A2334" w:rsidP="006A2334">
      <w:pPr>
        <w:ind w:left="720"/>
        <w:jc w:val="both"/>
        <w:rPr>
          <w:rFonts w:ascii="Calibri" w:hAnsi="Calibri" w:cs="Calibri"/>
          <w:lang w:val="fr-FR"/>
        </w:rPr>
      </w:pPr>
      <w:r w:rsidRPr="006A2334">
        <w:rPr>
          <w:rFonts w:ascii="Calibri" w:hAnsi="Calibri" w:cs="Calibri"/>
          <w:lang w:val="fr-FR"/>
        </w:rPr>
        <w:t>1) Le mode d’octroi ;</w:t>
      </w:r>
    </w:p>
    <w:p w:rsidR="006A2334" w:rsidRPr="006A2334" w:rsidRDefault="006A2334" w:rsidP="006A2334">
      <w:pPr>
        <w:jc w:val="both"/>
        <w:rPr>
          <w:rFonts w:ascii="Calibri" w:hAnsi="Calibri" w:cs="Calibri"/>
          <w:lang w:val="fr-FR"/>
        </w:rPr>
      </w:pPr>
    </w:p>
    <w:p w:rsidR="006A2334" w:rsidRPr="006A2334" w:rsidRDefault="006A2334" w:rsidP="006A2334">
      <w:pPr>
        <w:ind w:left="720"/>
        <w:jc w:val="both"/>
        <w:rPr>
          <w:rFonts w:ascii="Calibri" w:hAnsi="Calibri" w:cs="Calibri"/>
          <w:lang w:val="fr-FR"/>
        </w:rPr>
      </w:pPr>
      <w:r w:rsidRPr="006A2334">
        <w:rPr>
          <w:rFonts w:ascii="Calibri" w:hAnsi="Calibri" w:cs="Calibri"/>
          <w:lang w:val="fr-FR"/>
        </w:rPr>
        <w:t>2) L'indication des parties contractantes, les noms et qualités des signataires agissant au nom de l’Office National des Aéroports et du co-contractant ;</w:t>
      </w:r>
    </w:p>
    <w:p w:rsidR="006A2334" w:rsidRPr="006A2334" w:rsidRDefault="006A2334" w:rsidP="006A2334">
      <w:pPr>
        <w:ind w:left="720"/>
        <w:jc w:val="both"/>
        <w:rPr>
          <w:rFonts w:ascii="Calibri" w:hAnsi="Calibri" w:cs="Calibri"/>
          <w:lang w:val="fr-FR"/>
        </w:rPr>
      </w:pPr>
    </w:p>
    <w:p w:rsidR="006A2334" w:rsidRPr="006A2334" w:rsidRDefault="006A2334" w:rsidP="006A2334">
      <w:pPr>
        <w:ind w:left="720"/>
        <w:jc w:val="both"/>
        <w:rPr>
          <w:rFonts w:ascii="Calibri" w:hAnsi="Calibri" w:cs="Calibri"/>
          <w:lang w:val="fr-FR"/>
        </w:rPr>
      </w:pPr>
      <w:r w:rsidRPr="006A2334">
        <w:rPr>
          <w:rFonts w:ascii="Calibri" w:hAnsi="Calibri" w:cs="Calibri"/>
          <w:lang w:val="fr-FR"/>
        </w:rPr>
        <w:t>3) L'objet avec indication de la ou du lieu de la concession (Domiciliation) ;</w:t>
      </w:r>
    </w:p>
    <w:p w:rsidR="006A2334" w:rsidRPr="006A2334" w:rsidRDefault="006A2334" w:rsidP="006A2334">
      <w:pPr>
        <w:ind w:left="720"/>
        <w:jc w:val="both"/>
        <w:rPr>
          <w:rFonts w:ascii="Calibri" w:hAnsi="Calibri" w:cs="Calibri"/>
          <w:lang w:val="fr-FR"/>
        </w:rPr>
      </w:pPr>
    </w:p>
    <w:p w:rsidR="006A2334" w:rsidRPr="006A2334" w:rsidRDefault="006A2334" w:rsidP="006A2334">
      <w:pPr>
        <w:ind w:left="720"/>
        <w:jc w:val="both"/>
        <w:rPr>
          <w:rFonts w:ascii="Calibri" w:hAnsi="Calibri" w:cs="Calibri"/>
          <w:lang w:val="fr-FR"/>
        </w:rPr>
      </w:pPr>
      <w:r w:rsidRPr="006A2334">
        <w:rPr>
          <w:rFonts w:ascii="Calibri" w:hAnsi="Calibri" w:cs="Calibri"/>
          <w:lang w:val="fr-FR"/>
        </w:rPr>
        <w:t>4) Le registre de commerce du titulaire ;</w:t>
      </w:r>
    </w:p>
    <w:p w:rsidR="006A2334" w:rsidRPr="006A2334" w:rsidRDefault="006A2334" w:rsidP="006A2334">
      <w:pPr>
        <w:ind w:left="720"/>
        <w:jc w:val="both"/>
        <w:rPr>
          <w:rFonts w:ascii="Calibri" w:hAnsi="Calibri" w:cs="Calibri"/>
          <w:lang w:val="fr-FR"/>
        </w:rPr>
      </w:pPr>
    </w:p>
    <w:p w:rsidR="006A2334" w:rsidRPr="006A2334" w:rsidRDefault="006A2334" w:rsidP="006A2334">
      <w:pPr>
        <w:ind w:left="720"/>
        <w:jc w:val="both"/>
        <w:rPr>
          <w:rFonts w:ascii="Calibri" w:hAnsi="Calibri" w:cs="Calibri"/>
          <w:lang w:val="fr-FR"/>
        </w:rPr>
      </w:pPr>
      <w:r w:rsidRPr="006A2334">
        <w:rPr>
          <w:rFonts w:ascii="Calibri" w:hAnsi="Calibri" w:cs="Calibri"/>
          <w:lang w:val="fr-FR"/>
        </w:rPr>
        <w:t>5) L'énumération par ordre de priorité des pièces incorporées à la convention ;</w:t>
      </w:r>
    </w:p>
    <w:p w:rsidR="006A2334" w:rsidRPr="006A2334" w:rsidRDefault="006A2334" w:rsidP="006A2334">
      <w:pPr>
        <w:jc w:val="both"/>
        <w:rPr>
          <w:rFonts w:ascii="Calibri" w:hAnsi="Calibri" w:cs="Calibri"/>
          <w:lang w:val="fr-FR"/>
        </w:rPr>
      </w:pPr>
    </w:p>
    <w:p w:rsidR="006A2334" w:rsidRPr="006A2334" w:rsidRDefault="006A2334" w:rsidP="006A2334">
      <w:pPr>
        <w:ind w:left="720"/>
        <w:jc w:val="both"/>
        <w:rPr>
          <w:rFonts w:ascii="Calibri" w:hAnsi="Calibri" w:cs="Calibri"/>
          <w:lang w:val="fr-FR"/>
        </w:rPr>
      </w:pPr>
      <w:r w:rsidRPr="006A2334">
        <w:rPr>
          <w:rFonts w:ascii="Calibri" w:hAnsi="Calibri" w:cs="Calibri"/>
          <w:lang w:val="fr-FR"/>
        </w:rPr>
        <w:t>6) Le délai de la convention ;</w:t>
      </w:r>
    </w:p>
    <w:p w:rsidR="006A2334" w:rsidRPr="006A2334" w:rsidRDefault="006A2334" w:rsidP="006A2334">
      <w:pPr>
        <w:ind w:left="720"/>
        <w:jc w:val="both"/>
        <w:rPr>
          <w:rFonts w:ascii="Calibri" w:hAnsi="Calibri" w:cs="Calibri"/>
          <w:lang w:val="fr-FR"/>
        </w:rPr>
      </w:pPr>
    </w:p>
    <w:p w:rsidR="006A2334" w:rsidRPr="006A2334" w:rsidRDefault="006A2334" w:rsidP="006A2334">
      <w:pPr>
        <w:ind w:left="720"/>
        <w:jc w:val="both"/>
        <w:rPr>
          <w:rFonts w:ascii="Calibri" w:hAnsi="Calibri" w:cs="Calibri"/>
          <w:lang w:val="fr-FR"/>
        </w:rPr>
      </w:pPr>
      <w:r w:rsidRPr="006A2334">
        <w:rPr>
          <w:rFonts w:ascii="Calibri" w:hAnsi="Calibri" w:cs="Calibri"/>
          <w:lang w:val="fr-FR"/>
        </w:rPr>
        <w:t>7) Les modalités de règlement des redevances ;</w:t>
      </w:r>
    </w:p>
    <w:p w:rsidR="006A2334" w:rsidRPr="006A2334" w:rsidRDefault="006A2334" w:rsidP="006A2334">
      <w:pPr>
        <w:ind w:left="720"/>
        <w:jc w:val="both"/>
        <w:rPr>
          <w:rFonts w:ascii="Calibri" w:hAnsi="Calibri" w:cs="Calibri"/>
          <w:lang w:val="fr-FR"/>
        </w:rPr>
      </w:pPr>
    </w:p>
    <w:p w:rsidR="006A2334" w:rsidRPr="006A2334" w:rsidRDefault="006A2334" w:rsidP="006A2334">
      <w:pPr>
        <w:ind w:left="720"/>
        <w:jc w:val="both"/>
        <w:rPr>
          <w:rFonts w:ascii="Calibri" w:hAnsi="Calibri" w:cs="Calibri"/>
          <w:lang w:val="fr-FR"/>
        </w:rPr>
      </w:pPr>
      <w:r w:rsidRPr="006A2334">
        <w:rPr>
          <w:rFonts w:ascii="Calibri" w:hAnsi="Calibri" w:cs="Calibri"/>
          <w:lang w:val="fr-FR"/>
        </w:rPr>
        <w:t>8) Les conditions de résiliation ;</w:t>
      </w:r>
    </w:p>
    <w:p w:rsidR="006A2334" w:rsidRPr="006A2334" w:rsidRDefault="006A2334" w:rsidP="006A2334">
      <w:pPr>
        <w:ind w:left="720"/>
        <w:jc w:val="both"/>
        <w:rPr>
          <w:rFonts w:ascii="Calibri" w:hAnsi="Calibri" w:cs="Calibri"/>
          <w:lang w:val="fr-FR"/>
        </w:rPr>
      </w:pPr>
    </w:p>
    <w:p w:rsidR="006A2334" w:rsidRPr="006A2334" w:rsidRDefault="006A2334" w:rsidP="006A2334">
      <w:pPr>
        <w:ind w:left="720"/>
        <w:jc w:val="both"/>
        <w:rPr>
          <w:rFonts w:ascii="Calibri" w:hAnsi="Calibri" w:cs="Calibri"/>
          <w:lang w:val="fr-FR"/>
        </w:rPr>
      </w:pPr>
      <w:r w:rsidRPr="006A2334">
        <w:rPr>
          <w:rFonts w:ascii="Calibri" w:hAnsi="Calibri" w:cs="Calibri"/>
          <w:lang w:val="fr-FR"/>
        </w:rPr>
        <w:t>9) L'approbation de la convention par l'Autorité Concédante.</w:t>
      </w:r>
    </w:p>
    <w:p w:rsidR="006A2334" w:rsidRPr="006A2334" w:rsidRDefault="006A2334" w:rsidP="006A2334">
      <w:pPr>
        <w:jc w:val="both"/>
        <w:rPr>
          <w:rFonts w:ascii="Calibri" w:hAnsi="Calibri" w:cs="Calibri"/>
          <w:b/>
          <w:lang w:val="fr-FR"/>
        </w:rPr>
      </w:pPr>
    </w:p>
    <w:p w:rsidR="006A2334" w:rsidRPr="006A2334" w:rsidRDefault="006A2334" w:rsidP="006A2334">
      <w:pPr>
        <w:pStyle w:val="Titre1"/>
        <w:rPr>
          <w:rFonts w:ascii="Calibri" w:hAnsi="Calibri" w:cs="Calibri"/>
          <w:bCs w:val="0"/>
          <w:lang w:val="fr-FR"/>
        </w:rPr>
      </w:pPr>
      <w:bookmarkStart w:id="32" w:name="_Toc135465891"/>
      <w:bookmarkStart w:id="33" w:name="_Toc135466648"/>
      <w:bookmarkStart w:id="34" w:name="_Toc135808659"/>
      <w:bookmarkStart w:id="35" w:name="_Toc135808775"/>
      <w:bookmarkStart w:id="36" w:name="_Toc136065943"/>
      <w:bookmarkStart w:id="37" w:name="_Toc136066060"/>
      <w:bookmarkStart w:id="38" w:name="_Toc136163283"/>
      <w:bookmarkStart w:id="39" w:name="_Toc136767583"/>
      <w:bookmarkStart w:id="40" w:name="_Toc136767843"/>
      <w:bookmarkStart w:id="41" w:name="_Toc137011922"/>
      <w:bookmarkStart w:id="42" w:name="_Toc137035804"/>
      <w:bookmarkStart w:id="43" w:name="_Toc137039337"/>
      <w:bookmarkStart w:id="44" w:name="_Toc139855444"/>
      <w:bookmarkStart w:id="45" w:name="_Toc139868155"/>
      <w:bookmarkStart w:id="46" w:name="_Toc140303909"/>
      <w:bookmarkStart w:id="47" w:name="_Toc150320844"/>
      <w:r w:rsidRPr="006A2334">
        <w:rPr>
          <w:rFonts w:ascii="Calibri" w:hAnsi="Calibri" w:cs="Calibri"/>
          <w:bCs w:val="0"/>
          <w:lang w:val="fr-FR"/>
        </w:rPr>
        <w:t xml:space="preserve">Modes d’octroi des 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6A2334">
        <w:rPr>
          <w:rFonts w:ascii="Calibri" w:hAnsi="Calibri" w:cs="Calibri"/>
          <w:bCs w:val="0"/>
          <w:lang w:val="fr-FR"/>
        </w:rPr>
        <w:t>concessions</w:t>
      </w:r>
    </w:p>
    <w:p w:rsidR="006A2334" w:rsidRPr="006A2334" w:rsidRDefault="006A2334" w:rsidP="006A2334">
      <w:pPr>
        <w:rPr>
          <w:lang w:val="fr-FR"/>
        </w:rPr>
      </w:pPr>
    </w:p>
    <w:p w:rsidR="006A2334" w:rsidRPr="006A2334" w:rsidRDefault="006A2334" w:rsidP="006A2334">
      <w:pPr>
        <w:pStyle w:val="Titre1"/>
        <w:rPr>
          <w:rFonts w:ascii="Calibri" w:hAnsi="Calibri" w:cs="Calibri"/>
          <w:lang w:val="fr-FR"/>
        </w:rPr>
      </w:pPr>
      <w:bookmarkStart w:id="48" w:name="_Toc135465900"/>
      <w:bookmarkStart w:id="49" w:name="_Toc135466657"/>
      <w:bookmarkStart w:id="50" w:name="_Toc135808668"/>
      <w:bookmarkStart w:id="51" w:name="_Toc135808784"/>
      <w:bookmarkStart w:id="52" w:name="_Toc136065952"/>
      <w:bookmarkStart w:id="53" w:name="_Toc136066069"/>
      <w:bookmarkStart w:id="54" w:name="_Toc136163292"/>
      <w:bookmarkStart w:id="55" w:name="_Toc136767592"/>
      <w:bookmarkStart w:id="56" w:name="_Toc136767852"/>
      <w:bookmarkStart w:id="57" w:name="_Toc137011931"/>
      <w:bookmarkStart w:id="58" w:name="_Toc137035813"/>
      <w:bookmarkStart w:id="59" w:name="_Toc137039346"/>
      <w:bookmarkStart w:id="60" w:name="_Toc139855453"/>
      <w:bookmarkStart w:id="61" w:name="_Toc139868164"/>
      <w:bookmarkStart w:id="62" w:name="_Toc140303918"/>
      <w:bookmarkStart w:id="63" w:name="_Toc150320853"/>
      <w:r w:rsidRPr="006A2334">
        <w:rPr>
          <w:rFonts w:ascii="Calibri" w:hAnsi="Calibri" w:cs="Calibri"/>
          <w:bCs w:val="0"/>
          <w:lang w:val="fr-FR"/>
        </w:rPr>
        <w:t xml:space="preserve">Conditions requises 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6A2334" w:rsidRPr="006A2334" w:rsidRDefault="006A2334" w:rsidP="006A2334">
      <w:pPr>
        <w:spacing w:before="120"/>
        <w:jc w:val="both"/>
        <w:rPr>
          <w:rFonts w:ascii="Calibri" w:hAnsi="Calibri" w:cs="Calibri"/>
          <w:lang w:val="fr-FR"/>
        </w:rPr>
      </w:pPr>
      <w:r w:rsidRPr="006A2334">
        <w:rPr>
          <w:rFonts w:ascii="Calibri" w:hAnsi="Calibri" w:cs="Calibri"/>
          <w:lang w:val="fr-FR"/>
        </w:rPr>
        <w:t>Seules peuvent participer aux procédures d’octroi des concessions, les personnes physiques ou morales qui :</w:t>
      </w:r>
    </w:p>
    <w:p w:rsidR="006A2334" w:rsidRPr="006A2334" w:rsidRDefault="006A2334" w:rsidP="006A2334">
      <w:pPr>
        <w:spacing w:before="120"/>
        <w:ind w:left="538" w:hanging="181"/>
        <w:jc w:val="both"/>
        <w:rPr>
          <w:rFonts w:ascii="Calibri" w:hAnsi="Calibri" w:cs="Calibri"/>
          <w:lang w:val="fr-FR"/>
        </w:rPr>
      </w:pPr>
      <w:r w:rsidRPr="006A2334">
        <w:rPr>
          <w:rFonts w:ascii="Calibri" w:hAnsi="Calibri" w:cs="Calibri"/>
          <w:lang w:val="fr-FR"/>
        </w:rPr>
        <w:t>- Justifient des capacités juridiques, techniques et financières requises ;</w:t>
      </w:r>
    </w:p>
    <w:p w:rsidR="006A2334" w:rsidRPr="006A2334" w:rsidRDefault="006A2334" w:rsidP="006A2334">
      <w:pPr>
        <w:spacing w:before="120"/>
        <w:ind w:left="538" w:hanging="181"/>
        <w:jc w:val="both"/>
        <w:rPr>
          <w:rFonts w:ascii="Calibri" w:hAnsi="Calibri" w:cs="Calibri"/>
          <w:lang w:val="fr-FR"/>
        </w:rPr>
      </w:pPr>
      <w:r w:rsidRPr="006A2334">
        <w:rPr>
          <w:rFonts w:ascii="Calibri" w:hAnsi="Calibri" w:cs="Calibri"/>
          <w:lang w:val="fr-FR"/>
        </w:rPr>
        <w:t>-</w:t>
      </w:r>
      <w:r w:rsidRPr="006A2334"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6A2334">
        <w:rPr>
          <w:rFonts w:ascii="Calibri" w:hAnsi="Calibri" w:cs="Calibri"/>
          <w:lang w:val="fr-FR"/>
        </w:rPr>
        <w:t xml:space="preserve">Sont en situation fiscale régulière, pour avoir souscrit leurs déclarations et réglé les sommes exigibles ; </w:t>
      </w:r>
    </w:p>
    <w:p w:rsidR="006A2334" w:rsidRPr="006A2334" w:rsidRDefault="006A2334" w:rsidP="006A2334">
      <w:pPr>
        <w:spacing w:before="120"/>
        <w:ind w:left="538" w:hanging="181"/>
        <w:jc w:val="both"/>
        <w:rPr>
          <w:rFonts w:ascii="Calibri" w:hAnsi="Calibri" w:cs="Calibri"/>
          <w:lang w:val="fr-FR"/>
        </w:rPr>
      </w:pPr>
      <w:r w:rsidRPr="006A2334">
        <w:rPr>
          <w:rFonts w:ascii="Calibri" w:hAnsi="Calibri" w:cs="Calibri"/>
          <w:lang w:val="fr-FR"/>
        </w:rPr>
        <w:t xml:space="preserve">- Sont affiliées à la Caisse Nationale de Sécurité Sociale, et souscrivent de manière régulière leurs déclarations de salaires et sont en situation régulière auprès de cet organisme. </w:t>
      </w:r>
    </w:p>
    <w:p w:rsidR="006A2334" w:rsidRPr="006A2334" w:rsidRDefault="006A2334" w:rsidP="006A2334">
      <w:pPr>
        <w:jc w:val="both"/>
        <w:rPr>
          <w:rFonts w:ascii="Calibri" w:hAnsi="Calibri" w:cs="Calibri"/>
          <w:lang w:val="fr-FR"/>
        </w:rPr>
      </w:pPr>
    </w:p>
    <w:p w:rsidR="006A2334" w:rsidRPr="006A2334" w:rsidRDefault="006A2334" w:rsidP="006A2334">
      <w:pPr>
        <w:jc w:val="both"/>
        <w:rPr>
          <w:rFonts w:ascii="Calibri" w:hAnsi="Calibri" w:cs="Calibri"/>
          <w:lang w:val="fr-FR"/>
        </w:rPr>
      </w:pPr>
      <w:r w:rsidRPr="006A2334">
        <w:rPr>
          <w:rFonts w:ascii="Calibri" w:hAnsi="Calibri" w:cs="Calibri"/>
          <w:lang w:val="fr-FR"/>
        </w:rPr>
        <w:t>Ne sont pas admises à participer aux appels d'offres :</w:t>
      </w:r>
    </w:p>
    <w:p w:rsidR="006A2334" w:rsidRPr="006A2334" w:rsidRDefault="006A2334" w:rsidP="006A2334">
      <w:pPr>
        <w:spacing w:before="120"/>
        <w:ind w:left="540" w:hanging="180"/>
        <w:jc w:val="both"/>
        <w:rPr>
          <w:rFonts w:ascii="Calibri" w:hAnsi="Calibri" w:cs="Calibri"/>
          <w:lang w:val="fr-FR"/>
        </w:rPr>
      </w:pPr>
      <w:r w:rsidRPr="006A2334">
        <w:rPr>
          <w:rFonts w:ascii="Calibri" w:hAnsi="Calibri" w:cs="Calibri"/>
          <w:lang w:val="fr-FR"/>
        </w:rPr>
        <w:t>-  Les personnes en liquidation judiciaire ;</w:t>
      </w:r>
    </w:p>
    <w:p w:rsidR="006A2334" w:rsidRPr="006A2334" w:rsidRDefault="006A2334" w:rsidP="006A2334">
      <w:pPr>
        <w:spacing w:before="120"/>
        <w:ind w:left="540" w:hanging="180"/>
        <w:jc w:val="both"/>
        <w:rPr>
          <w:rFonts w:ascii="Calibri" w:hAnsi="Calibri" w:cs="Calibri"/>
          <w:lang w:val="fr-FR"/>
        </w:rPr>
      </w:pPr>
      <w:r w:rsidRPr="006A2334">
        <w:rPr>
          <w:rFonts w:ascii="Calibri" w:hAnsi="Calibri" w:cs="Calibri"/>
          <w:lang w:val="fr-FR"/>
        </w:rPr>
        <w:t>- Les personnes en redressement judiciaire, sauf autorisation spéciale délivrée par l'autorité judiciaire compétente ;</w:t>
      </w:r>
    </w:p>
    <w:p w:rsidR="006A2334" w:rsidRPr="006A2334" w:rsidRDefault="006A2334" w:rsidP="006A2334">
      <w:pPr>
        <w:rPr>
          <w:lang w:val="fr-FR"/>
        </w:rPr>
      </w:pPr>
    </w:p>
    <w:p w:rsidR="006A2334" w:rsidRPr="006A2334" w:rsidRDefault="006A2334" w:rsidP="006A2334">
      <w:pPr>
        <w:pStyle w:val="Titre1"/>
        <w:rPr>
          <w:rFonts w:ascii="Calibri" w:hAnsi="Calibri" w:cs="Calibri"/>
          <w:bCs w:val="0"/>
          <w:lang w:val="fr-FR"/>
        </w:rPr>
      </w:pPr>
      <w:r w:rsidRPr="006A2334">
        <w:rPr>
          <w:rFonts w:ascii="Calibri" w:hAnsi="Calibri" w:cs="Calibri"/>
          <w:bCs w:val="0"/>
          <w:lang w:val="fr-FR"/>
        </w:rPr>
        <w:t>Procédures d’octroi des concessions</w:t>
      </w:r>
    </w:p>
    <w:p w:rsidR="006A2334" w:rsidRPr="006A2334" w:rsidRDefault="006A2334" w:rsidP="006A2334">
      <w:pPr>
        <w:spacing w:before="120"/>
        <w:ind w:left="851" w:hanging="143"/>
        <w:jc w:val="both"/>
        <w:rPr>
          <w:rFonts w:ascii="Calibri" w:hAnsi="Calibri" w:cs="Calibri"/>
          <w:lang w:val="fr-FR"/>
        </w:rPr>
      </w:pPr>
      <w:r w:rsidRPr="006A2334">
        <w:rPr>
          <w:rFonts w:ascii="Calibri" w:hAnsi="Calibri" w:cs="Calibri"/>
          <w:lang w:val="fr-FR"/>
        </w:rPr>
        <w:t xml:space="preserve">- </w:t>
      </w:r>
      <w:r w:rsidRPr="006A2334">
        <w:rPr>
          <w:rFonts w:ascii="Calibri" w:hAnsi="Calibri" w:cs="Calibri"/>
          <w:b/>
          <w:lang w:val="fr-FR"/>
        </w:rPr>
        <w:t>La procédure de demande de propositions commerciales</w:t>
      </w:r>
      <w:r w:rsidRPr="006A2334">
        <w:rPr>
          <w:rFonts w:ascii="Calibri" w:hAnsi="Calibri" w:cs="Calibri"/>
          <w:lang w:val="fr-FR"/>
        </w:rPr>
        <w:t xml:space="preserve"> pour l’exploitation des concessions de l’ONDA (Appel d’offres ouvert) ;</w:t>
      </w:r>
    </w:p>
    <w:p w:rsidR="006A2334" w:rsidRPr="006A2334" w:rsidRDefault="006A2334" w:rsidP="006A2334">
      <w:pPr>
        <w:spacing w:before="120"/>
        <w:ind w:left="851" w:hanging="311"/>
        <w:jc w:val="both"/>
        <w:rPr>
          <w:rFonts w:ascii="Calibri" w:hAnsi="Calibri" w:cs="Calibri"/>
          <w:lang w:val="fr-FR"/>
        </w:rPr>
      </w:pPr>
      <w:r w:rsidRPr="006A2334">
        <w:rPr>
          <w:rFonts w:ascii="Calibri" w:hAnsi="Calibri" w:cs="Calibri"/>
          <w:lang w:val="fr-FR"/>
        </w:rPr>
        <w:t xml:space="preserve">  - </w:t>
      </w:r>
      <w:r w:rsidRPr="006A2334">
        <w:rPr>
          <w:rFonts w:ascii="Calibri" w:hAnsi="Calibri" w:cs="Calibri"/>
          <w:b/>
          <w:lang w:val="fr-FR"/>
        </w:rPr>
        <w:t>La procédure de demande de propositions commerciales avec présélection</w:t>
      </w:r>
      <w:r w:rsidRPr="006A2334">
        <w:rPr>
          <w:rFonts w:ascii="Calibri" w:hAnsi="Calibri" w:cs="Calibri"/>
          <w:lang w:val="fr-FR"/>
        </w:rPr>
        <w:t xml:space="preserve"> pour l’exploitation des concessions de l’ONDA (Nouvelle activité commerciale à forte valeur ajoutée) ;</w:t>
      </w:r>
    </w:p>
    <w:p w:rsidR="006A2334" w:rsidRPr="006A2334" w:rsidRDefault="006A2334" w:rsidP="006A2334">
      <w:pPr>
        <w:spacing w:before="120"/>
        <w:ind w:firstLine="540"/>
        <w:jc w:val="both"/>
        <w:rPr>
          <w:rFonts w:ascii="Calibri" w:hAnsi="Calibri" w:cs="Calibri"/>
          <w:lang w:val="fr-FR"/>
        </w:rPr>
      </w:pPr>
      <w:r w:rsidRPr="006A2334">
        <w:rPr>
          <w:rFonts w:ascii="Calibri" w:hAnsi="Calibri" w:cs="Calibri"/>
          <w:lang w:val="fr-FR"/>
        </w:rPr>
        <w:lastRenderedPageBreak/>
        <w:t xml:space="preserve">   - </w:t>
      </w:r>
      <w:r w:rsidRPr="006A2334">
        <w:rPr>
          <w:rFonts w:ascii="Calibri" w:hAnsi="Calibri" w:cs="Calibri"/>
          <w:b/>
          <w:lang w:val="fr-FR"/>
        </w:rPr>
        <w:t>La procédure négociée</w:t>
      </w:r>
      <w:r w:rsidRPr="006A2334">
        <w:rPr>
          <w:rFonts w:ascii="Calibri" w:hAnsi="Calibri" w:cs="Calibri"/>
          <w:lang w:val="fr-FR"/>
        </w:rPr>
        <w:t xml:space="preserve"> (Le Gré à gré).</w:t>
      </w:r>
    </w:p>
    <w:p w:rsidR="004652DF" w:rsidRPr="00D73FC8" w:rsidRDefault="004652DF" w:rsidP="006A2334">
      <w:pPr>
        <w:pStyle w:val="Titre1"/>
        <w:rPr>
          <w:lang w:val="fr-FR"/>
        </w:rPr>
      </w:pPr>
    </w:p>
    <w:sectPr w:rsidR="004652DF" w:rsidRPr="00D73FC8">
      <w:headerReference w:type="default" r:id="rId7"/>
      <w:footerReference w:type="default" r:id="rId8"/>
      <w:pgSz w:w="11906" w:h="16838"/>
      <w:pgMar w:top="306" w:right="1417" w:bottom="1417" w:left="1417" w:header="708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42" w:rsidRDefault="00EE6542">
      <w:r>
        <w:separator/>
      </w:r>
    </w:p>
  </w:endnote>
  <w:endnote w:type="continuationSeparator" w:id="0">
    <w:p w:rsidR="00EE6542" w:rsidRDefault="00EE6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39" w:rsidRDefault="00803F39">
    <w:pPr>
      <w:jc w:val="right"/>
      <w:rPr>
        <w:b/>
        <w:bCs/>
      </w:rPr>
    </w:pPr>
  </w:p>
  <w:p w:rsidR="00803F39" w:rsidRDefault="00803F39">
    <w:pPr>
      <w:rPr>
        <w:rFonts w:ascii="Arial" w:hAnsi="Arial" w:cs="Arial"/>
        <w:color w:val="999999"/>
        <w:sz w:val="20"/>
        <w:szCs w:val="20"/>
      </w:rPr>
    </w:pPr>
    <w:r>
      <w:rPr>
        <w:rFonts w:ascii="Arial" w:hAnsi="Arial" w:cs="Arial" w:hint="cs"/>
        <w:noProof/>
        <w:color w:val="999999"/>
        <w:sz w:val="20"/>
        <w:szCs w:val="20"/>
        <w:rtl/>
      </w:rPr>
      <w:pict>
        <v:line id="_x0000_s2050" style="position:absolute;z-index:251657728" from="0,10.6pt" to="459pt,10.6pt" strokecolor="#036" strokeweight="1.75pt"/>
      </w:pict>
    </w:r>
  </w:p>
  <w:p w:rsidR="00803F39" w:rsidRDefault="00803F39">
    <w:pPr>
      <w:rPr>
        <w:rFonts w:ascii="Arial" w:hAnsi="Arial" w:cs="Arial" w:hint="cs"/>
        <w:color w:val="999999"/>
        <w:sz w:val="20"/>
        <w:szCs w:val="20"/>
        <w:rtl/>
      </w:rPr>
    </w:pPr>
  </w:p>
  <w:p w:rsidR="00803F39" w:rsidRDefault="00803F39">
    <w:pPr>
      <w:jc w:val="center"/>
      <w:rPr>
        <w:rFonts w:ascii="Arial" w:hAnsi="Arial" w:cs="Arial" w:hint="cs"/>
        <w:color w:val="999999"/>
        <w:sz w:val="18"/>
        <w:szCs w:val="18"/>
        <w:rtl/>
      </w:rPr>
    </w:pPr>
    <w:r>
      <w:rPr>
        <w:rFonts w:ascii="Arial" w:hAnsi="Arial" w:cs="Arial" w:hint="cs"/>
        <w:color w:val="999999"/>
        <w:sz w:val="18"/>
        <w:szCs w:val="18"/>
        <w:rtl/>
      </w:rPr>
      <w:t>المكتب الوطني للمطارات</w:t>
    </w:r>
    <w:r>
      <w:rPr>
        <w:rFonts w:ascii="Arial" w:hAnsi="Arial" w:cs="Arial" w:hint="cs"/>
        <w:color w:val="999999"/>
        <w:sz w:val="18"/>
        <w:szCs w:val="18"/>
        <w:rtl/>
        <w:lang w:bidi="ar-MA"/>
      </w:rPr>
      <w:t>-</w:t>
    </w:r>
    <w:r>
      <w:rPr>
        <w:rFonts w:ascii="Arial" w:hAnsi="Arial" w:cs="Arial" w:hint="cs"/>
        <w:color w:val="999999"/>
        <w:sz w:val="18"/>
        <w:szCs w:val="18"/>
        <w:rtl/>
      </w:rPr>
      <w:t xml:space="preserve"> -النواصر-المغرب-الهاتف : 63-78-43-022 الفاكس : 33-79-43-022</w:t>
    </w:r>
  </w:p>
  <w:p w:rsidR="00803F39" w:rsidRDefault="00803F39">
    <w:pPr>
      <w:jc w:val="center"/>
      <w:rPr>
        <w:rFonts w:ascii="Arial" w:hAnsi="Arial" w:cs="Arial" w:hint="cs"/>
        <w:color w:val="999999"/>
        <w:sz w:val="18"/>
        <w:szCs w:val="18"/>
        <w:rtl/>
      </w:rPr>
    </w:pPr>
    <w:r>
      <w:rPr>
        <w:rFonts w:ascii="Arial" w:hAnsi="Arial" w:cs="Arial"/>
        <w:color w:val="999999"/>
        <w:sz w:val="18"/>
        <w:szCs w:val="18"/>
      </w:rPr>
      <w:t>Office National Des Aéroports – Nouaceur – Maroc- Tél. : 022-43-78-63 – Fax : 022-43-79-33</w:t>
    </w:r>
  </w:p>
  <w:p w:rsidR="00803F39" w:rsidRDefault="00803F39">
    <w:pPr>
      <w:jc w:val="center"/>
      <w:rPr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www.onda.ma</w:t>
    </w:r>
  </w:p>
  <w:p w:rsidR="00803F39" w:rsidRDefault="00803F39">
    <w:pPr>
      <w:jc w:val="center"/>
      <w:rPr>
        <w:sz w:val="18"/>
        <w:szCs w:val="18"/>
      </w:rPr>
    </w:pPr>
  </w:p>
  <w:p w:rsidR="00803F39" w:rsidRDefault="00803F39">
    <w:pPr>
      <w:jc w:val="center"/>
      <w:rPr>
        <w:sz w:val="22"/>
        <w:szCs w:val="22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bCs/>
            <w:sz w:val="22"/>
            <w:szCs w:val="22"/>
            <w:shd w:val="clear" w:color="auto" w:fill="003366"/>
          </w:rPr>
          <w:t>Call</w:t>
        </w:r>
      </w:smartTag>
      <w:r>
        <w:rPr>
          <w:rFonts w:ascii="Arial" w:hAnsi="Arial" w:cs="Arial"/>
          <w:b/>
          <w:bCs/>
          <w:sz w:val="22"/>
          <w:szCs w:val="22"/>
          <w:shd w:val="clear" w:color="auto" w:fill="00336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bCs/>
            <w:sz w:val="22"/>
            <w:szCs w:val="22"/>
            <w:shd w:val="clear" w:color="auto" w:fill="003366"/>
          </w:rPr>
          <w:t>Center</w:t>
        </w:r>
      </w:smartTag>
    </w:smartTag>
    <w:r>
      <w:rPr>
        <w:rFonts w:ascii="Arial" w:hAnsi="Arial" w:cs="Arial"/>
        <w:b/>
        <w:bCs/>
        <w:sz w:val="22"/>
        <w:szCs w:val="22"/>
      </w:rPr>
      <w:t xml:space="preserve"> </w:t>
    </w:r>
    <w:r>
      <w:rPr>
        <w:rFonts w:ascii="Arial" w:hAnsi="Arial" w:cs="Arial"/>
        <w:b/>
        <w:bCs/>
        <w:color w:val="FFFFFF"/>
        <w:sz w:val="22"/>
        <w:szCs w:val="22"/>
        <w:shd w:val="clear" w:color="auto" w:fill="C0C0C0"/>
      </w:rPr>
      <w:t>081 000 224</w:t>
    </w:r>
  </w:p>
  <w:p w:rsidR="00803F39" w:rsidRDefault="00803F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42" w:rsidRDefault="00EE6542">
      <w:r>
        <w:separator/>
      </w:r>
    </w:p>
  </w:footnote>
  <w:footnote w:type="continuationSeparator" w:id="0">
    <w:p w:rsidR="00EE6542" w:rsidRDefault="00EE6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39" w:rsidRDefault="007A7B7C">
    <w:pPr>
      <w:pStyle w:val="En-tte"/>
    </w:pPr>
    <w:r>
      <w:rPr>
        <w:noProof/>
        <w:lang w:val="fr-FR"/>
      </w:rPr>
      <w:drawing>
        <wp:inline distT="0" distB="0" distL="0" distR="0">
          <wp:extent cx="5715000" cy="508000"/>
          <wp:effectExtent l="19050" t="0" r="0" b="0"/>
          <wp:docPr id="1" name="Image 1" descr="Logo ONDA Modifi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NDA Modifi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3F39" w:rsidRDefault="00803F39">
    <w:pPr>
      <w:pStyle w:val="En-tte"/>
      <w:jc w:val="center"/>
      <w:rPr>
        <w:sz w:val="28"/>
        <w:szCs w:val="28"/>
      </w:rPr>
    </w:pPr>
  </w:p>
  <w:p w:rsidR="00803F39" w:rsidRDefault="00803F3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A20"/>
    <w:multiLevelType w:val="hybridMultilevel"/>
    <w:tmpl w:val="E5FEFCA8"/>
    <w:lvl w:ilvl="0" w:tplc="1BA4A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421E4"/>
    <w:multiLevelType w:val="hybridMultilevel"/>
    <w:tmpl w:val="A78C4212"/>
    <w:lvl w:ilvl="0" w:tplc="F5DED124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8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63900"/>
    <w:multiLevelType w:val="hybridMultilevel"/>
    <w:tmpl w:val="CB70120E"/>
    <w:lvl w:ilvl="0" w:tplc="F5DED124">
      <w:start w:val="1"/>
      <w:numFmt w:val="bullet"/>
      <w:lvlText w:val="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  <w:i w:val="0"/>
        <w:color w:val="00008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9E640DD"/>
    <w:multiLevelType w:val="hybridMultilevel"/>
    <w:tmpl w:val="5C2A2C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C78C1"/>
    <w:multiLevelType w:val="hybridMultilevel"/>
    <w:tmpl w:val="D12AD6BC"/>
    <w:lvl w:ilvl="0" w:tplc="224413BA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5453D"/>
    <w:multiLevelType w:val="hybridMultilevel"/>
    <w:tmpl w:val="E5FEFC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D70C0"/>
    <w:multiLevelType w:val="hybridMultilevel"/>
    <w:tmpl w:val="8606F9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BA7B39"/>
    <w:multiLevelType w:val="hybridMultilevel"/>
    <w:tmpl w:val="07B04F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A911C">
      <w:start w:val="1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A125D8"/>
    <w:multiLevelType w:val="hybridMultilevel"/>
    <w:tmpl w:val="BD52A98A"/>
    <w:lvl w:ilvl="0" w:tplc="F5DED124">
      <w:start w:val="1"/>
      <w:numFmt w:val="bullet"/>
      <w:lvlText w:val="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  <w:b w:val="0"/>
        <w:i w:val="0"/>
        <w:color w:val="00008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753CA8"/>
    <w:multiLevelType w:val="hybridMultilevel"/>
    <w:tmpl w:val="913652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5D44DC"/>
    <w:multiLevelType w:val="hybridMultilevel"/>
    <w:tmpl w:val="BD52A98A"/>
    <w:lvl w:ilvl="0" w:tplc="1BA4A14E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DE0501"/>
    <w:multiLevelType w:val="hybridMultilevel"/>
    <w:tmpl w:val="2BAA7E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947DF"/>
    <w:multiLevelType w:val="hybridMultilevel"/>
    <w:tmpl w:val="44F4DA2E"/>
    <w:lvl w:ilvl="0" w:tplc="B2CA9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F46F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E0F1C"/>
    <w:multiLevelType w:val="hybridMultilevel"/>
    <w:tmpl w:val="CD6074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C57FF7"/>
    <w:multiLevelType w:val="hybridMultilevel"/>
    <w:tmpl w:val="144C2E7A"/>
    <w:lvl w:ilvl="0" w:tplc="1BA4A14E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12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0E71"/>
    <w:rsid w:val="00022BC0"/>
    <w:rsid w:val="000350A4"/>
    <w:rsid w:val="0004753A"/>
    <w:rsid w:val="00095F8F"/>
    <w:rsid w:val="000B35D8"/>
    <w:rsid w:val="000C125F"/>
    <w:rsid w:val="000E0E71"/>
    <w:rsid w:val="00123D9B"/>
    <w:rsid w:val="00173285"/>
    <w:rsid w:val="001D16E9"/>
    <w:rsid w:val="00202E77"/>
    <w:rsid w:val="00246313"/>
    <w:rsid w:val="002766A8"/>
    <w:rsid w:val="002B47F5"/>
    <w:rsid w:val="002C1281"/>
    <w:rsid w:val="002E5465"/>
    <w:rsid w:val="002F530C"/>
    <w:rsid w:val="00345F3E"/>
    <w:rsid w:val="003A78C0"/>
    <w:rsid w:val="003E3C35"/>
    <w:rsid w:val="004652DF"/>
    <w:rsid w:val="004714F5"/>
    <w:rsid w:val="00486237"/>
    <w:rsid w:val="004A058B"/>
    <w:rsid w:val="004B36E6"/>
    <w:rsid w:val="004D6B73"/>
    <w:rsid w:val="004E02F8"/>
    <w:rsid w:val="00563A29"/>
    <w:rsid w:val="00570D61"/>
    <w:rsid w:val="0058482A"/>
    <w:rsid w:val="005D6FB0"/>
    <w:rsid w:val="00677358"/>
    <w:rsid w:val="006A2334"/>
    <w:rsid w:val="006E3ED6"/>
    <w:rsid w:val="00725459"/>
    <w:rsid w:val="00787044"/>
    <w:rsid w:val="00793D7A"/>
    <w:rsid w:val="007A7B7C"/>
    <w:rsid w:val="00803F39"/>
    <w:rsid w:val="0084526D"/>
    <w:rsid w:val="008918EF"/>
    <w:rsid w:val="0093045D"/>
    <w:rsid w:val="0096317D"/>
    <w:rsid w:val="009942FE"/>
    <w:rsid w:val="009A1237"/>
    <w:rsid w:val="009D65C0"/>
    <w:rsid w:val="00A05770"/>
    <w:rsid w:val="00AD4FD5"/>
    <w:rsid w:val="00BF79A4"/>
    <w:rsid w:val="00C16DA6"/>
    <w:rsid w:val="00C25B47"/>
    <w:rsid w:val="00D73FC8"/>
    <w:rsid w:val="00D92F6B"/>
    <w:rsid w:val="00DC09E0"/>
    <w:rsid w:val="00DC6699"/>
    <w:rsid w:val="00E151D3"/>
    <w:rsid w:val="00E47A30"/>
    <w:rsid w:val="00E91405"/>
    <w:rsid w:val="00ED6F06"/>
    <w:rsid w:val="00EE6542"/>
    <w:rsid w:val="00F2385D"/>
    <w:rsid w:val="00F6407F"/>
    <w:rsid w:val="00F86909"/>
    <w:rsid w:val="00FC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7A7B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 w:cs="Courier New"/>
      <w:b/>
      <w:bCs/>
      <w:sz w:val="28"/>
      <w:szCs w:val="28"/>
      <w:lang w:val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Book Antiqua" w:hAnsi="Book Antiqua" w:cs="Arial"/>
      <w:b/>
      <w:bCs/>
      <w:color w:val="000080"/>
      <w:sz w:val="28"/>
      <w:szCs w:val="28"/>
      <w:lang w:val="fr-FR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color w:val="000080"/>
      <w:lang w:val="fr-FR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 Narrow" w:hAnsi="Arial Narrow" w:cs="Courier New"/>
      <w:b/>
      <w:bCs/>
      <w:sz w:val="22"/>
      <w:szCs w:val="22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pPr>
      <w:jc w:val="center"/>
    </w:pPr>
    <w:rPr>
      <w:rFonts w:ascii="Book Antiqua" w:hAnsi="Book Antiqua"/>
      <w:b/>
      <w:bCs/>
      <w:sz w:val="32"/>
      <w:szCs w:val="32"/>
      <w:lang w:val="fr-FR"/>
    </w:rPr>
  </w:style>
  <w:style w:type="paragraph" w:styleId="Corpsdetexte">
    <w:name w:val="Body Text"/>
    <w:basedOn w:val="Normal"/>
    <w:pPr>
      <w:jc w:val="both"/>
    </w:pPr>
    <w:rPr>
      <w:rFonts w:ascii="Book Antiqua" w:hAnsi="Book Antiqua"/>
      <w:color w:val="000000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Book Antiqua" w:hAnsi="Book Antiqua" w:cs="Arial"/>
      <w:b/>
      <w:bCs/>
      <w:color w:val="000080"/>
      <w:sz w:val="32"/>
      <w:szCs w:val="32"/>
      <w:lang w:val="fr-FR"/>
    </w:rPr>
  </w:style>
  <w:style w:type="paragraph" w:styleId="Retraitcorpsdetexte">
    <w:name w:val="Body Text Indent"/>
    <w:basedOn w:val="Normal"/>
    <w:pPr>
      <w:tabs>
        <w:tab w:val="left" w:pos="1260"/>
      </w:tabs>
      <w:ind w:left="1260"/>
    </w:pPr>
    <w:rPr>
      <w:rFonts w:ascii="Book Antiqua" w:hAnsi="Book Antiqua"/>
      <w:lang w:val="fr-FR"/>
    </w:rPr>
  </w:style>
  <w:style w:type="character" w:styleId="Lienhypertexte">
    <w:name w:val="Hyperlink"/>
    <w:basedOn w:val="Policepardfaut"/>
    <w:rsid w:val="002766A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7A7B7C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Textedebulles">
    <w:name w:val="Balloon Text"/>
    <w:basedOn w:val="Normal"/>
    <w:link w:val="TextedebullesCar"/>
    <w:rsid w:val="00D73F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3FC8"/>
    <w:rPr>
      <w:rFonts w:ascii="Tahoma" w:hAnsi="Tahoma" w:cs="Tahoma"/>
      <w:sz w:val="16"/>
      <w:szCs w:val="16"/>
      <w:lang w:val="en-GB"/>
    </w:rPr>
  </w:style>
  <w:style w:type="paragraph" w:customStyle="1" w:styleId="Retraitcorpsdetexte21">
    <w:name w:val="Retrait corps de texte 21"/>
    <w:basedOn w:val="Normal"/>
    <w:rsid w:val="006A2334"/>
    <w:pPr>
      <w:spacing w:before="120" w:after="60"/>
      <w:ind w:left="1276" w:hanging="1276"/>
      <w:jc w:val="both"/>
    </w:pPr>
    <w:rPr>
      <w:rFonts w:ascii="Arial" w:hAnsi="Arial"/>
      <w:b/>
      <w:sz w:val="20"/>
      <w:szCs w:val="20"/>
      <w:u w:val="single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visite royale</vt:lpstr>
    </vt:vector>
  </TitlesOfParts>
  <Company>onda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visite royale</dc:title>
  <dc:subject/>
  <dc:creator>z.ouldelmaalem</dc:creator>
  <cp:keywords/>
  <dc:description/>
  <cp:lastModifiedBy>j.bekkali</cp:lastModifiedBy>
  <cp:revision>2</cp:revision>
  <cp:lastPrinted>2007-03-20T16:13:00Z</cp:lastPrinted>
  <dcterms:created xsi:type="dcterms:W3CDTF">2013-08-01T09:58:00Z</dcterms:created>
  <dcterms:modified xsi:type="dcterms:W3CDTF">2013-08-01T09:58:00Z</dcterms:modified>
</cp:coreProperties>
</file>