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06" w:rsidRDefault="00ED6F06">
      <w:pPr>
        <w:pStyle w:val="Retraitcorpsdetexte"/>
        <w:tabs>
          <w:tab w:val="clear" w:pos="1260"/>
          <w:tab w:val="left" w:pos="0"/>
        </w:tabs>
        <w:ind w:left="0"/>
        <w:rPr>
          <w:b/>
          <w:bCs/>
          <w:color w:val="000080"/>
        </w:rPr>
      </w:pPr>
    </w:p>
    <w:p w:rsidR="00677358" w:rsidRPr="00677358" w:rsidRDefault="00677358" w:rsidP="00677358">
      <w:pPr>
        <w:jc w:val="both"/>
        <w:rPr>
          <w:rFonts w:ascii="Calibri" w:hAnsi="Calibri" w:cs="Calibri"/>
          <w:lang w:val="fr-FR"/>
        </w:rPr>
      </w:pPr>
    </w:p>
    <w:p w:rsidR="00677358" w:rsidRDefault="00677358" w:rsidP="00677358">
      <w:pPr>
        <w:jc w:val="both"/>
        <w:rPr>
          <w:rFonts w:ascii="Calibri" w:hAnsi="Calibri" w:cs="Calibri"/>
          <w:lang w:val="fr-FR"/>
        </w:rPr>
      </w:pPr>
    </w:p>
    <w:p w:rsidR="006A2334" w:rsidRPr="006A2334" w:rsidRDefault="006A2334" w:rsidP="006A2334">
      <w:pPr>
        <w:jc w:val="both"/>
        <w:rPr>
          <w:rFonts w:ascii="Calibri" w:hAnsi="Calibri" w:cs="Calibri"/>
          <w:b/>
          <w:lang w:val="fr-FR"/>
        </w:rPr>
      </w:pPr>
    </w:p>
    <w:p w:rsidR="00B91B1B" w:rsidRDefault="00B91B1B" w:rsidP="00B91B1B">
      <w:pPr>
        <w:pStyle w:val="Retraitcorpsdetexte"/>
        <w:tabs>
          <w:tab w:val="clear" w:pos="1260"/>
          <w:tab w:val="left" w:pos="0"/>
        </w:tabs>
        <w:ind w:left="0"/>
        <w:jc w:val="center"/>
        <w:rPr>
          <w:b/>
          <w:bCs/>
          <w:color w:val="000080"/>
          <w:sz w:val="40"/>
          <w:szCs w:val="40"/>
        </w:rPr>
      </w:pPr>
      <w:r w:rsidRPr="00B91B1B">
        <w:rPr>
          <w:b/>
          <w:bCs/>
          <w:color w:val="000080"/>
          <w:sz w:val="40"/>
          <w:szCs w:val="40"/>
        </w:rPr>
        <w:t>APPEL D’OFFRES OUVERT </w:t>
      </w:r>
    </w:p>
    <w:p w:rsidR="00B91B1B" w:rsidRDefault="00B91B1B" w:rsidP="00B91B1B">
      <w:pPr>
        <w:pStyle w:val="Retraitcorpsdetexte"/>
        <w:tabs>
          <w:tab w:val="clear" w:pos="1260"/>
          <w:tab w:val="left" w:pos="0"/>
        </w:tabs>
        <w:ind w:left="0"/>
        <w:jc w:val="center"/>
        <w:rPr>
          <w:b/>
          <w:bCs/>
          <w:color w:val="000080"/>
          <w:sz w:val="40"/>
          <w:szCs w:val="40"/>
        </w:rPr>
      </w:pPr>
    </w:p>
    <w:p w:rsidR="00B91B1B" w:rsidRPr="00B91B1B" w:rsidRDefault="00B91B1B" w:rsidP="00B91B1B">
      <w:pPr>
        <w:pStyle w:val="Retraitcorpsdetexte"/>
        <w:tabs>
          <w:tab w:val="clear" w:pos="1260"/>
          <w:tab w:val="left" w:pos="0"/>
        </w:tabs>
        <w:ind w:left="0"/>
        <w:jc w:val="center"/>
        <w:rPr>
          <w:rFonts w:ascii="Calibri" w:hAnsi="Calibri" w:cs="Calibri"/>
        </w:rPr>
      </w:pPr>
    </w:p>
    <w:p w:rsidR="00B91B1B" w:rsidRPr="00B91B1B" w:rsidRDefault="00B91B1B" w:rsidP="00B91B1B">
      <w:pPr>
        <w:jc w:val="both"/>
        <w:rPr>
          <w:rFonts w:ascii="Calibri" w:hAnsi="Calibri" w:cs="Calibri"/>
          <w:lang w:val="fr-FR"/>
        </w:rPr>
      </w:pPr>
      <w:r w:rsidRPr="00B91B1B">
        <w:rPr>
          <w:rFonts w:ascii="Calibri" w:hAnsi="Calibri" w:cs="Calibri"/>
          <w:b/>
          <w:lang w:val="fr-FR"/>
        </w:rPr>
        <w:t>La procédure de demande de propositions commerciales</w:t>
      </w:r>
      <w:r w:rsidRPr="00B91B1B">
        <w:rPr>
          <w:rFonts w:ascii="Calibri" w:hAnsi="Calibri" w:cs="Calibri"/>
          <w:lang w:val="fr-FR"/>
        </w:rPr>
        <w:t xml:space="preserve"> accorde à tout candidat la possibilité d’obtenir le dossier de consultation et présenter sa candidature. </w:t>
      </w:r>
    </w:p>
    <w:p w:rsidR="00B91B1B" w:rsidRPr="00B91B1B" w:rsidRDefault="00B91B1B" w:rsidP="00B91B1B">
      <w:pPr>
        <w:pStyle w:val="Titre1"/>
        <w:rPr>
          <w:rFonts w:ascii="Calibri" w:hAnsi="Calibri" w:cs="Calibri"/>
          <w:bCs w:val="0"/>
          <w:szCs w:val="28"/>
          <w:lang w:val="fr-FR"/>
        </w:rPr>
      </w:pPr>
      <w:bookmarkStart w:id="0" w:name="_Toc135465895"/>
      <w:bookmarkStart w:id="1" w:name="_Toc135466652"/>
      <w:bookmarkStart w:id="2" w:name="_Toc135808663"/>
      <w:bookmarkStart w:id="3" w:name="_Toc135808779"/>
      <w:bookmarkStart w:id="4" w:name="_Toc136065947"/>
      <w:bookmarkStart w:id="5" w:name="_Toc136066064"/>
      <w:bookmarkStart w:id="6" w:name="_Toc136163287"/>
      <w:bookmarkStart w:id="7" w:name="_Toc136767587"/>
      <w:bookmarkStart w:id="8" w:name="_Toc136767847"/>
      <w:bookmarkStart w:id="9" w:name="_Toc137011926"/>
      <w:bookmarkStart w:id="10" w:name="_Toc137035808"/>
      <w:bookmarkStart w:id="11" w:name="_Toc137039341"/>
      <w:bookmarkStart w:id="12" w:name="_Toc139855448"/>
      <w:bookmarkStart w:id="13" w:name="_Toc139868159"/>
      <w:bookmarkStart w:id="14" w:name="_Toc140303913"/>
      <w:bookmarkStart w:id="15" w:name="_Toc150320848"/>
      <w:r w:rsidRPr="00B91B1B">
        <w:rPr>
          <w:rFonts w:ascii="Calibri" w:hAnsi="Calibri" w:cs="Calibri"/>
          <w:bCs w:val="0"/>
          <w:lang w:val="fr-FR"/>
        </w:rPr>
        <w:t>Principes et m</w:t>
      </w:r>
      <w:r w:rsidRPr="00B91B1B">
        <w:rPr>
          <w:rFonts w:ascii="Calibri" w:hAnsi="Calibri" w:cs="Calibri"/>
          <w:bCs w:val="0"/>
          <w:szCs w:val="28"/>
          <w:lang w:val="fr-FR"/>
        </w:rPr>
        <w:t>odalités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B91B1B">
        <w:rPr>
          <w:rFonts w:ascii="Calibri" w:hAnsi="Calibri" w:cs="Calibri"/>
          <w:bCs w:val="0"/>
          <w:szCs w:val="28"/>
          <w:lang w:val="fr-FR"/>
        </w:rPr>
        <w:t> :</w:t>
      </w:r>
    </w:p>
    <w:p w:rsidR="00B91B1B" w:rsidRPr="00B91B1B" w:rsidRDefault="00B91B1B" w:rsidP="00B91B1B">
      <w:pPr>
        <w:jc w:val="both"/>
        <w:rPr>
          <w:rFonts w:ascii="Calibri" w:hAnsi="Calibri" w:cs="Calibri"/>
          <w:lang w:val="fr-FR"/>
        </w:rPr>
      </w:pPr>
    </w:p>
    <w:p w:rsidR="00B91B1B" w:rsidRPr="00B91B1B" w:rsidRDefault="00B91B1B" w:rsidP="00B91B1B">
      <w:pPr>
        <w:jc w:val="both"/>
        <w:rPr>
          <w:rFonts w:ascii="Calibri" w:hAnsi="Calibri" w:cs="Calibri"/>
          <w:lang w:val="fr-FR"/>
        </w:rPr>
      </w:pPr>
      <w:r w:rsidRPr="00B91B1B">
        <w:rPr>
          <w:rFonts w:ascii="Calibri" w:hAnsi="Calibri" w:cs="Calibri"/>
          <w:lang w:val="fr-FR"/>
        </w:rPr>
        <w:t>La procédure de Demande de proposition commerciale pour l’exploitation des concessions de l’ONDA obéit aux principes suivants :</w:t>
      </w:r>
    </w:p>
    <w:p w:rsidR="00B91B1B" w:rsidRPr="00B91B1B" w:rsidRDefault="00B91B1B" w:rsidP="00B91B1B">
      <w:pPr>
        <w:spacing w:before="120"/>
        <w:ind w:left="1259" w:hanging="180"/>
        <w:jc w:val="both"/>
        <w:rPr>
          <w:rFonts w:ascii="Calibri" w:hAnsi="Calibri" w:cs="Calibri"/>
          <w:lang w:val="fr-FR"/>
        </w:rPr>
      </w:pPr>
      <w:r w:rsidRPr="00B91B1B">
        <w:rPr>
          <w:rFonts w:ascii="Calibri" w:hAnsi="Calibri" w:cs="Calibri"/>
          <w:lang w:val="fr-FR"/>
        </w:rPr>
        <w:t>a) Un appel à la concurrence ;</w:t>
      </w:r>
    </w:p>
    <w:p w:rsidR="00B91B1B" w:rsidRPr="00B91B1B" w:rsidRDefault="00B91B1B" w:rsidP="00B91B1B">
      <w:pPr>
        <w:spacing w:before="120"/>
        <w:ind w:left="1259" w:hanging="180"/>
        <w:jc w:val="both"/>
        <w:rPr>
          <w:rFonts w:ascii="Calibri" w:hAnsi="Calibri" w:cs="Calibri"/>
          <w:lang w:val="fr-FR"/>
        </w:rPr>
      </w:pPr>
      <w:r w:rsidRPr="00B91B1B">
        <w:rPr>
          <w:rFonts w:ascii="Calibri" w:hAnsi="Calibri" w:cs="Calibri"/>
          <w:lang w:val="fr-FR"/>
        </w:rPr>
        <w:t>b) L'ouverture des plis peut être en séance publique ou à huis clos.  Dans les deux cas les plis des concurrents sont soit déposés, contre récépissé dans le bureau d’ordre « Aéroport Mohammed V/ONDA » indiqué dans l'avis de l’appel d’offres, soit envoyés par courrier recommandé avec accusé de réception aux bureaux précités, et ce dans le délai fixé par l'avis ;</w:t>
      </w:r>
    </w:p>
    <w:p w:rsidR="00B91B1B" w:rsidRPr="00B91B1B" w:rsidRDefault="00B91B1B" w:rsidP="00B91B1B">
      <w:pPr>
        <w:spacing w:before="120"/>
        <w:ind w:left="1259" w:hanging="180"/>
        <w:jc w:val="both"/>
        <w:rPr>
          <w:rFonts w:ascii="Calibri" w:hAnsi="Calibri" w:cs="Calibri"/>
          <w:lang w:val="fr-FR"/>
        </w:rPr>
      </w:pPr>
      <w:r w:rsidRPr="00B91B1B">
        <w:rPr>
          <w:rFonts w:ascii="Calibri" w:hAnsi="Calibri" w:cs="Calibri"/>
          <w:lang w:val="fr-FR"/>
        </w:rPr>
        <w:t>c) L'examen des propositions par une commission des concessions nommée sur décision du Directeur Général de l’ONDA, renouvelable chaque 4 mois;</w:t>
      </w:r>
    </w:p>
    <w:p w:rsidR="00B91B1B" w:rsidRPr="00B91B1B" w:rsidRDefault="00B91B1B" w:rsidP="00B91B1B">
      <w:pPr>
        <w:spacing w:before="120"/>
        <w:ind w:left="1259" w:hanging="180"/>
        <w:jc w:val="both"/>
        <w:rPr>
          <w:rFonts w:ascii="Calibri" w:hAnsi="Calibri" w:cs="Calibri"/>
          <w:sz w:val="20"/>
          <w:szCs w:val="20"/>
          <w:lang w:val="fr-FR"/>
        </w:rPr>
      </w:pPr>
      <w:r w:rsidRPr="00B91B1B">
        <w:rPr>
          <w:rFonts w:ascii="Calibri" w:hAnsi="Calibri" w:cs="Calibri"/>
          <w:lang w:val="fr-FR"/>
        </w:rPr>
        <w:t>d) La communication, le cas échéant, du montant de l’estimation prévue.</w:t>
      </w:r>
    </w:p>
    <w:p w:rsidR="00B91B1B" w:rsidRPr="00B91B1B" w:rsidRDefault="00B91B1B" w:rsidP="00B91B1B">
      <w:pPr>
        <w:ind w:left="1080"/>
        <w:jc w:val="both"/>
        <w:rPr>
          <w:rFonts w:ascii="Calibri" w:hAnsi="Calibri" w:cs="Calibri"/>
          <w:b/>
          <w:bCs/>
          <w:i/>
          <w:iCs/>
          <w:sz w:val="20"/>
          <w:szCs w:val="20"/>
          <w:lang w:val="fr-FR"/>
        </w:rPr>
      </w:pPr>
    </w:p>
    <w:p w:rsidR="00B91B1B" w:rsidRPr="00B91B1B" w:rsidRDefault="00B91B1B" w:rsidP="00B91B1B">
      <w:pPr>
        <w:jc w:val="both"/>
        <w:rPr>
          <w:rFonts w:ascii="Calibri" w:hAnsi="Calibri" w:cs="Calibri"/>
          <w:lang w:val="fr-FR"/>
        </w:rPr>
      </w:pPr>
      <w:r w:rsidRPr="00B91B1B">
        <w:rPr>
          <w:rFonts w:ascii="Calibri" w:hAnsi="Calibri" w:cs="Calibri"/>
          <w:lang w:val="fr-FR"/>
        </w:rPr>
        <w:t xml:space="preserve">Le mode d’ouverture des plis, en séance publique ou à huit clos, est fixé au préalable par l’Autorité Concédante. </w:t>
      </w:r>
    </w:p>
    <w:p w:rsidR="00B91B1B" w:rsidRPr="00B91B1B" w:rsidRDefault="00B91B1B" w:rsidP="00B91B1B">
      <w:pPr>
        <w:jc w:val="both"/>
        <w:rPr>
          <w:rFonts w:ascii="Calibri" w:hAnsi="Calibri" w:cs="Calibri"/>
          <w:b/>
          <w:lang w:val="fr-FR"/>
        </w:rPr>
      </w:pPr>
    </w:p>
    <w:p w:rsidR="00B91B1B" w:rsidRPr="00B91B1B" w:rsidRDefault="00B91B1B" w:rsidP="00B91B1B">
      <w:pPr>
        <w:pStyle w:val="Titre1"/>
        <w:rPr>
          <w:rFonts w:ascii="Calibri" w:hAnsi="Calibri" w:cs="Calibri"/>
          <w:lang w:val="fr-FR"/>
        </w:rPr>
      </w:pPr>
      <w:bookmarkStart w:id="16" w:name="_Toc135465896"/>
      <w:bookmarkStart w:id="17" w:name="_Toc135466653"/>
      <w:bookmarkStart w:id="18" w:name="_Toc135808664"/>
      <w:bookmarkStart w:id="19" w:name="_Toc135808780"/>
      <w:bookmarkStart w:id="20" w:name="_Toc136065948"/>
      <w:bookmarkStart w:id="21" w:name="_Toc136066065"/>
      <w:bookmarkStart w:id="22" w:name="_Toc136163288"/>
      <w:bookmarkStart w:id="23" w:name="_Toc136767588"/>
      <w:bookmarkStart w:id="24" w:name="_Toc136767848"/>
      <w:bookmarkStart w:id="25" w:name="_Toc137011927"/>
      <w:bookmarkStart w:id="26" w:name="_Toc137035809"/>
      <w:bookmarkStart w:id="27" w:name="_Toc137039342"/>
      <w:bookmarkStart w:id="28" w:name="_Toc139855449"/>
      <w:bookmarkStart w:id="29" w:name="_Toc139868160"/>
      <w:bookmarkStart w:id="30" w:name="_Toc140303914"/>
      <w:bookmarkStart w:id="31" w:name="_Toc150320849"/>
      <w:r w:rsidRPr="00B91B1B">
        <w:rPr>
          <w:rFonts w:ascii="Calibri" w:hAnsi="Calibri" w:cs="Calibri"/>
          <w:bCs w:val="0"/>
          <w:lang w:val="fr-FR"/>
        </w:rPr>
        <w:t>Règlement de la consultation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B91B1B" w:rsidRPr="00B91B1B" w:rsidRDefault="00B91B1B" w:rsidP="00B91B1B">
      <w:pPr>
        <w:jc w:val="both"/>
        <w:rPr>
          <w:rFonts w:ascii="Calibri" w:hAnsi="Calibri" w:cs="Calibri"/>
          <w:lang w:val="fr-FR"/>
        </w:rPr>
      </w:pPr>
    </w:p>
    <w:p w:rsidR="00B91B1B" w:rsidRPr="00B91B1B" w:rsidRDefault="00B91B1B" w:rsidP="00B91B1B">
      <w:pPr>
        <w:jc w:val="both"/>
        <w:rPr>
          <w:rFonts w:ascii="Calibri" w:hAnsi="Calibri" w:cs="Calibri"/>
          <w:lang w:val="fr-FR"/>
        </w:rPr>
      </w:pPr>
      <w:r w:rsidRPr="00B91B1B">
        <w:rPr>
          <w:rFonts w:ascii="Calibri" w:hAnsi="Calibri" w:cs="Calibri"/>
          <w:lang w:val="fr-FR"/>
        </w:rPr>
        <w:t>I- Toute demande de propositions commerciales fait l'objet d'un règlement établi par l’ONDA comprenant notamment :</w:t>
      </w:r>
    </w:p>
    <w:p w:rsidR="00B91B1B" w:rsidRPr="00B91B1B" w:rsidRDefault="00B91B1B" w:rsidP="00B91B1B">
      <w:pPr>
        <w:jc w:val="both"/>
        <w:rPr>
          <w:rFonts w:ascii="Calibri" w:hAnsi="Calibri" w:cs="Calibri"/>
          <w:lang w:val="fr-FR"/>
        </w:rPr>
      </w:pPr>
    </w:p>
    <w:p w:rsidR="00B91B1B" w:rsidRPr="00B91B1B" w:rsidRDefault="00B91B1B" w:rsidP="00B91B1B">
      <w:pPr>
        <w:jc w:val="both"/>
        <w:rPr>
          <w:rFonts w:ascii="Calibri" w:hAnsi="Calibri" w:cs="Calibri"/>
          <w:lang w:val="fr-FR"/>
        </w:rPr>
      </w:pPr>
      <w:r w:rsidRPr="00B91B1B">
        <w:rPr>
          <w:rFonts w:ascii="Calibri" w:hAnsi="Calibri" w:cs="Calibri"/>
          <w:lang w:val="fr-FR"/>
        </w:rPr>
        <w:t>1) La liste des pièces à fournir;</w:t>
      </w:r>
    </w:p>
    <w:p w:rsidR="00B91B1B" w:rsidRPr="00B91B1B" w:rsidRDefault="00B91B1B" w:rsidP="00B91B1B">
      <w:pPr>
        <w:jc w:val="both"/>
        <w:rPr>
          <w:rFonts w:ascii="Calibri" w:hAnsi="Calibri" w:cs="Calibri"/>
          <w:lang w:val="fr-FR"/>
        </w:rPr>
      </w:pPr>
    </w:p>
    <w:p w:rsidR="00B91B1B" w:rsidRPr="00B91B1B" w:rsidRDefault="00B91B1B" w:rsidP="00B91B1B">
      <w:pPr>
        <w:jc w:val="both"/>
        <w:rPr>
          <w:rFonts w:ascii="Calibri" w:hAnsi="Calibri" w:cs="Calibri"/>
          <w:lang w:val="fr-FR"/>
        </w:rPr>
      </w:pPr>
      <w:r w:rsidRPr="00B91B1B">
        <w:rPr>
          <w:rFonts w:ascii="Calibri" w:hAnsi="Calibri" w:cs="Calibri"/>
          <w:lang w:val="fr-FR"/>
        </w:rPr>
        <w:t xml:space="preserve">2) Les critères d’admissibilité des concurrents qui doivent prendre en compte notamment les garanties et capacités juridiques, techniques et financières ainsi que l’expérience </w:t>
      </w:r>
      <w:r w:rsidRPr="00B91B1B">
        <w:rPr>
          <w:rFonts w:ascii="Calibri" w:hAnsi="Calibri" w:cs="Calibri"/>
          <w:lang w:val="fr-FR"/>
        </w:rPr>
        <w:lastRenderedPageBreak/>
        <w:t>professionnelle des concurrents dans les activités objet de la demande de proposition, le cas échéant ;</w:t>
      </w:r>
    </w:p>
    <w:p w:rsidR="00B91B1B" w:rsidRPr="00B91B1B" w:rsidRDefault="00B91B1B" w:rsidP="00B91B1B">
      <w:pPr>
        <w:jc w:val="both"/>
        <w:rPr>
          <w:rFonts w:ascii="Calibri" w:hAnsi="Calibri" w:cs="Calibri"/>
          <w:lang w:val="fr-FR"/>
        </w:rPr>
      </w:pPr>
    </w:p>
    <w:p w:rsidR="00B91B1B" w:rsidRPr="00CF49E4" w:rsidRDefault="00B91B1B" w:rsidP="00B91B1B">
      <w:pPr>
        <w:pStyle w:val="Corpsdetexte"/>
        <w:rPr>
          <w:rFonts w:ascii="Calibri" w:hAnsi="Calibri" w:cs="Calibri"/>
          <w:bCs/>
        </w:rPr>
      </w:pPr>
      <w:r w:rsidRPr="00CF49E4">
        <w:rPr>
          <w:rFonts w:ascii="Calibri" w:hAnsi="Calibri" w:cs="Calibri"/>
          <w:bCs/>
        </w:rPr>
        <w:t>3) Les critères de choix et de classement des propositions pour attribuer la convention au concurrent qui a présenté la proposition la plus avantageuse, soit en termes commerciale (proposition commerciale intéressante), soit en terme de :</w:t>
      </w:r>
    </w:p>
    <w:p w:rsidR="00B91B1B" w:rsidRPr="00CF49E4" w:rsidRDefault="00B91B1B" w:rsidP="00B91B1B">
      <w:pPr>
        <w:pStyle w:val="Corpsdetexte"/>
        <w:numPr>
          <w:ilvl w:val="0"/>
          <w:numId w:val="16"/>
        </w:numPr>
        <w:rPr>
          <w:rFonts w:ascii="Calibri" w:hAnsi="Calibri" w:cs="Calibri"/>
          <w:bCs/>
        </w:rPr>
      </w:pPr>
      <w:r w:rsidRPr="00CF49E4">
        <w:rPr>
          <w:rFonts w:ascii="Calibri" w:hAnsi="Calibri" w:cs="Calibri"/>
          <w:bCs/>
        </w:rPr>
        <w:t xml:space="preserve">Caractère innovant de la proposition ; </w:t>
      </w:r>
    </w:p>
    <w:p w:rsidR="00B91B1B" w:rsidRPr="00CF49E4" w:rsidRDefault="00B91B1B" w:rsidP="00B91B1B">
      <w:pPr>
        <w:pStyle w:val="Corpsdetexte"/>
        <w:numPr>
          <w:ilvl w:val="0"/>
          <w:numId w:val="16"/>
        </w:numPr>
        <w:rPr>
          <w:rFonts w:ascii="Calibri" w:hAnsi="Calibri" w:cs="Calibri"/>
          <w:bCs/>
        </w:rPr>
      </w:pPr>
      <w:r w:rsidRPr="00CF49E4">
        <w:rPr>
          <w:rFonts w:ascii="Calibri" w:hAnsi="Calibri" w:cs="Calibri"/>
          <w:bCs/>
        </w:rPr>
        <w:t xml:space="preserve">Qualités esthétiques et fonctionnelles, notamment les enseignes, les labels et les marques prestigieuses ; </w:t>
      </w:r>
    </w:p>
    <w:p w:rsidR="00B91B1B" w:rsidRPr="00CF49E4" w:rsidRDefault="00B91B1B" w:rsidP="00B91B1B">
      <w:pPr>
        <w:pStyle w:val="Corpsdetexte"/>
        <w:numPr>
          <w:ilvl w:val="0"/>
          <w:numId w:val="16"/>
        </w:numPr>
        <w:rPr>
          <w:rFonts w:ascii="Calibri" w:hAnsi="Calibri" w:cs="Calibri"/>
          <w:bCs/>
        </w:rPr>
      </w:pPr>
      <w:r w:rsidRPr="00CF49E4">
        <w:rPr>
          <w:rFonts w:ascii="Calibri" w:hAnsi="Calibri" w:cs="Calibri"/>
          <w:bCs/>
        </w:rPr>
        <w:t>D’autres critères peuvent être pris en compte s’ils sont justifiés par l’objet de la demande de propositions commerciales.</w:t>
      </w:r>
    </w:p>
    <w:p w:rsidR="00B91B1B" w:rsidRPr="00B91B1B" w:rsidRDefault="00B91B1B" w:rsidP="00B91B1B">
      <w:pPr>
        <w:jc w:val="both"/>
        <w:rPr>
          <w:rFonts w:ascii="Calibri" w:hAnsi="Calibri" w:cs="Calibri"/>
          <w:b/>
          <w:bCs/>
          <w:lang w:val="fr-FR"/>
        </w:rPr>
      </w:pPr>
    </w:p>
    <w:p w:rsidR="00B91B1B" w:rsidRPr="00B91B1B" w:rsidRDefault="00B91B1B" w:rsidP="00B91B1B">
      <w:pPr>
        <w:jc w:val="both"/>
        <w:rPr>
          <w:rFonts w:ascii="Calibri" w:hAnsi="Calibri" w:cs="Calibri"/>
          <w:lang w:val="fr-FR"/>
        </w:rPr>
      </w:pPr>
      <w:r w:rsidRPr="00B91B1B">
        <w:rPr>
          <w:rFonts w:ascii="Calibri" w:hAnsi="Calibri" w:cs="Calibri"/>
          <w:lang w:val="fr-FR"/>
        </w:rPr>
        <w:t>Toute demande de propositions commerciales fait l'objet d'un dossier préparé par le Concédant et qui doit comprendre :</w:t>
      </w:r>
    </w:p>
    <w:p w:rsidR="00B91B1B" w:rsidRPr="00B91B1B" w:rsidRDefault="00B91B1B" w:rsidP="00B91B1B">
      <w:pPr>
        <w:spacing w:before="120"/>
        <w:jc w:val="both"/>
        <w:rPr>
          <w:rFonts w:ascii="Calibri" w:hAnsi="Calibri" w:cs="Calibri"/>
          <w:lang w:val="fr-FR"/>
        </w:rPr>
      </w:pPr>
      <w:r w:rsidRPr="00B91B1B">
        <w:rPr>
          <w:rFonts w:ascii="Calibri" w:hAnsi="Calibri" w:cs="Calibri"/>
          <w:lang w:val="fr-FR"/>
        </w:rPr>
        <w:t>a) Un exemplaire du cahier des charges ;</w:t>
      </w:r>
    </w:p>
    <w:p w:rsidR="00B91B1B" w:rsidRPr="00B91B1B" w:rsidRDefault="00B91B1B" w:rsidP="00B91B1B">
      <w:pPr>
        <w:spacing w:before="120"/>
        <w:jc w:val="both"/>
        <w:rPr>
          <w:rFonts w:ascii="Calibri" w:hAnsi="Calibri" w:cs="Calibri"/>
          <w:lang w:val="fr-FR"/>
        </w:rPr>
      </w:pPr>
      <w:r w:rsidRPr="00B91B1B">
        <w:rPr>
          <w:rFonts w:ascii="Calibri" w:hAnsi="Calibri" w:cs="Calibri"/>
          <w:lang w:val="fr-FR"/>
        </w:rPr>
        <w:t>b) Le modèle de l'acte d'engagement ;</w:t>
      </w:r>
    </w:p>
    <w:p w:rsidR="00B91B1B" w:rsidRPr="00B91B1B" w:rsidRDefault="00B91B1B" w:rsidP="00B91B1B">
      <w:pPr>
        <w:spacing w:before="120"/>
        <w:jc w:val="both"/>
        <w:rPr>
          <w:rFonts w:ascii="Calibri" w:hAnsi="Calibri" w:cs="Calibri"/>
          <w:lang w:val="fr-FR"/>
        </w:rPr>
      </w:pPr>
      <w:r w:rsidRPr="00B91B1B">
        <w:rPr>
          <w:rFonts w:ascii="Calibri" w:hAnsi="Calibri" w:cs="Calibri"/>
          <w:lang w:val="fr-FR"/>
        </w:rPr>
        <w:t>c) Le modèle de la déclaration sur l'honneur ;</w:t>
      </w:r>
    </w:p>
    <w:p w:rsidR="00B91B1B" w:rsidRPr="00B91B1B" w:rsidRDefault="00B91B1B" w:rsidP="00B91B1B">
      <w:pPr>
        <w:spacing w:before="120"/>
        <w:jc w:val="both"/>
        <w:rPr>
          <w:rFonts w:ascii="Calibri" w:hAnsi="Calibri" w:cs="Calibri"/>
          <w:lang w:val="fr-FR"/>
        </w:rPr>
      </w:pPr>
      <w:r w:rsidRPr="00B91B1B">
        <w:rPr>
          <w:rFonts w:ascii="Calibri" w:hAnsi="Calibri" w:cs="Calibri"/>
          <w:lang w:val="fr-FR"/>
        </w:rPr>
        <w:t>d) Le règlement de la consultation prévu ;</w:t>
      </w:r>
    </w:p>
    <w:p w:rsidR="00B91B1B" w:rsidRPr="00B91B1B" w:rsidRDefault="00B91B1B" w:rsidP="00B91B1B">
      <w:pPr>
        <w:jc w:val="both"/>
        <w:rPr>
          <w:rFonts w:ascii="Calibri" w:hAnsi="Calibri" w:cs="Calibri"/>
          <w:lang w:val="fr-FR"/>
        </w:rPr>
      </w:pPr>
    </w:p>
    <w:p w:rsidR="00B91B1B" w:rsidRPr="00B91B1B" w:rsidRDefault="00B91B1B" w:rsidP="00B91B1B">
      <w:pPr>
        <w:jc w:val="both"/>
        <w:rPr>
          <w:rFonts w:ascii="Calibri" w:hAnsi="Calibri" w:cs="Calibri"/>
          <w:szCs w:val="28"/>
          <w:lang w:val="fr-FR"/>
        </w:rPr>
      </w:pPr>
      <w:r w:rsidRPr="00B91B1B">
        <w:rPr>
          <w:rFonts w:ascii="Calibri" w:hAnsi="Calibri" w:cs="Calibri"/>
          <w:szCs w:val="28"/>
          <w:lang w:val="fr-FR"/>
        </w:rPr>
        <w:t xml:space="preserve">Les dossiers de demande de propositions commerciales peuvent être téléchargés à partir du portail de l’ONDA.     </w:t>
      </w:r>
    </w:p>
    <w:p w:rsidR="00B91B1B" w:rsidRPr="00B91B1B" w:rsidRDefault="00B91B1B" w:rsidP="00B91B1B">
      <w:pPr>
        <w:jc w:val="both"/>
        <w:rPr>
          <w:rFonts w:ascii="Calibri" w:hAnsi="Calibri" w:cs="Calibri"/>
          <w:szCs w:val="28"/>
          <w:lang w:val="fr-FR"/>
        </w:rPr>
      </w:pPr>
    </w:p>
    <w:p w:rsidR="00B91B1B" w:rsidRPr="00B91B1B" w:rsidRDefault="00B91B1B" w:rsidP="00B91B1B">
      <w:pPr>
        <w:pStyle w:val="Titre1"/>
        <w:rPr>
          <w:rFonts w:ascii="Calibri" w:hAnsi="Calibri" w:cs="Calibri"/>
          <w:bCs w:val="0"/>
          <w:lang w:val="fr-FR"/>
        </w:rPr>
      </w:pPr>
      <w:bookmarkStart w:id="32" w:name="_Toc135465898"/>
      <w:bookmarkStart w:id="33" w:name="_Toc135466655"/>
      <w:bookmarkStart w:id="34" w:name="_Toc135808666"/>
      <w:bookmarkStart w:id="35" w:name="_Toc135808782"/>
      <w:bookmarkStart w:id="36" w:name="_Toc136065950"/>
      <w:bookmarkStart w:id="37" w:name="_Toc136066067"/>
      <w:bookmarkStart w:id="38" w:name="_Toc136163290"/>
      <w:bookmarkStart w:id="39" w:name="_Toc136767590"/>
      <w:bookmarkStart w:id="40" w:name="_Toc136767850"/>
      <w:bookmarkStart w:id="41" w:name="_Toc137011929"/>
      <w:bookmarkStart w:id="42" w:name="_Toc137035811"/>
      <w:bookmarkStart w:id="43" w:name="_Toc137039344"/>
      <w:bookmarkStart w:id="44" w:name="_Toc139855451"/>
      <w:bookmarkStart w:id="45" w:name="_Toc139868162"/>
      <w:bookmarkStart w:id="46" w:name="_Toc140303916"/>
      <w:bookmarkStart w:id="47" w:name="_Toc150320851"/>
      <w:r w:rsidRPr="00B91B1B">
        <w:rPr>
          <w:rFonts w:ascii="Calibri" w:hAnsi="Calibri" w:cs="Calibri"/>
          <w:bCs w:val="0"/>
          <w:lang w:val="fr-FR"/>
        </w:rPr>
        <w:t>Publicité de la demande de propositions commerciales </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B91B1B">
        <w:rPr>
          <w:rFonts w:ascii="Calibri" w:hAnsi="Calibri" w:cs="Calibri"/>
          <w:bCs w:val="0"/>
          <w:lang w:val="fr-FR"/>
        </w:rPr>
        <w:t>:</w:t>
      </w:r>
    </w:p>
    <w:p w:rsidR="00B91B1B" w:rsidRPr="00B91B1B" w:rsidRDefault="00B91B1B" w:rsidP="00B91B1B">
      <w:pPr>
        <w:jc w:val="both"/>
        <w:rPr>
          <w:rFonts w:ascii="Calibri" w:hAnsi="Calibri" w:cs="Calibri"/>
          <w:lang w:val="fr-FR"/>
        </w:rPr>
      </w:pPr>
    </w:p>
    <w:p w:rsidR="00B91B1B" w:rsidRPr="00B91B1B" w:rsidRDefault="00B91B1B" w:rsidP="00B91B1B">
      <w:pPr>
        <w:jc w:val="both"/>
        <w:rPr>
          <w:rFonts w:ascii="Calibri" w:hAnsi="Calibri" w:cs="Calibri"/>
          <w:lang w:val="fr-FR"/>
        </w:rPr>
      </w:pPr>
      <w:r w:rsidRPr="00B91B1B">
        <w:rPr>
          <w:rFonts w:ascii="Calibri" w:hAnsi="Calibri" w:cs="Calibri"/>
          <w:lang w:val="fr-FR"/>
        </w:rPr>
        <w:t>Toute demande de propositions commerciales doit faire l'objet d’une publication d’un avis qui fait connaître :</w:t>
      </w:r>
    </w:p>
    <w:p w:rsidR="00B91B1B" w:rsidRPr="00B91B1B" w:rsidRDefault="00B91B1B" w:rsidP="00B91B1B">
      <w:pPr>
        <w:jc w:val="both"/>
        <w:rPr>
          <w:rFonts w:ascii="Calibri" w:hAnsi="Calibri" w:cs="Calibri"/>
          <w:lang w:val="fr-FR"/>
        </w:rPr>
      </w:pPr>
    </w:p>
    <w:p w:rsidR="00B91B1B" w:rsidRPr="00B91B1B" w:rsidRDefault="00B91B1B" w:rsidP="00B91B1B">
      <w:pPr>
        <w:jc w:val="both"/>
        <w:rPr>
          <w:rFonts w:ascii="Calibri" w:hAnsi="Calibri" w:cs="Calibri"/>
          <w:lang w:val="fr-FR"/>
        </w:rPr>
      </w:pPr>
      <w:r w:rsidRPr="00B91B1B">
        <w:rPr>
          <w:rFonts w:ascii="Calibri" w:hAnsi="Calibri" w:cs="Calibri"/>
          <w:lang w:val="fr-FR"/>
        </w:rPr>
        <w:t>a) L'objet de la demande de propositions commerciales  avec indication, le cas échéant, de l’emplacement du bien à attribuer, objet de la concession ;</w:t>
      </w:r>
    </w:p>
    <w:p w:rsidR="00B91B1B" w:rsidRPr="00B91B1B" w:rsidRDefault="00B91B1B" w:rsidP="00B91B1B">
      <w:pPr>
        <w:jc w:val="both"/>
        <w:rPr>
          <w:rFonts w:ascii="Calibri" w:hAnsi="Calibri" w:cs="Calibri"/>
          <w:lang w:val="fr-FR"/>
        </w:rPr>
      </w:pPr>
    </w:p>
    <w:p w:rsidR="00B91B1B" w:rsidRPr="00B91B1B" w:rsidRDefault="00B91B1B" w:rsidP="00B91B1B">
      <w:pPr>
        <w:jc w:val="both"/>
        <w:rPr>
          <w:rFonts w:ascii="Calibri" w:hAnsi="Calibri" w:cs="Calibri"/>
          <w:lang w:val="fr-FR"/>
        </w:rPr>
      </w:pPr>
      <w:r w:rsidRPr="00B91B1B">
        <w:rPr>
          <w:rFonts w:ascii="Calibri" w:hAnsi="Calibri" w:cs="Calibri"/>
          <w:lang w:val="fr-FR"/>
        </w:rPr>
        <w:t>b) L'autorité qui procède à la demande de propositions commerciales ;</w:t>
      </w:r>
    </w:p>
    <w:p w:rsidR="00B91B1B" w:rsidRPr="00B91B1B" w:rsidRDefault="00B91B1B" w:rsidP="00B91B1B">
      <w:pPr>
        <w:jc w:val="both"/>
        <w:rPr>
          <w:rFonts w:ascii="Calibri" w:hAnsi="Calibri" w:cs="Calibri"/>
          <w:lang w:val="fr-FR"/>
        </w:rPr>
      </w:pPr>
    </w:p>
    <w:p w:rsidR="00B91B1B" w:rsidRPr="00B91B1B" w:rsidRDefault="00B91B1B" w:rsidP="00B91B1B">
      <w:pPr>
        <w:jc w:val="both"/>
        <w:rPr>
          <w:rFonts w:ascii="Calibri" w:hAnsi="Calibri" w:cs="Calibri"/>
          <w:lang w:val="fr-FR"/>
        </w:rPr>
      </w:pPr>
      <w:r w:rsidRPr="00B91B1B">
        <w:rPr>
          <w:rFonts w:ascii="Calibri" w:hAnsi="Calibri" w:cs="Calibri"/>
          <w:lang w:val="fr-FR"/>
        </w:rPr>
        <w:t>c) Le (ou les) bureau (x) et l’adresse du Concédant où l'on peut retirer le dossier de demande de propositions commerciales ;</w:t>
      </w:r>
    </w:p>
    <w:p w:rsidR="00B91B1B" w:rsidRPr="00B91B1B" w:rsidRDefault="00B91B1B" w:rsidP="00B91B1B">
      <w:pPr>
        <w:jc w:val="both"/>
        <w:rPr>
          <w:rFonts w:ascii="Calibri" w:hAnsi="Calibri" w:cs="Calibri"/>
          <w:lang w:val="fr-FR"/>
        </w:rPr>
      </w:pPr>
    </w:p>
    <w:p w:rsidR="00B91B1B" w:rsidRPr="00B91B1B" w:rsidRDefault="00B91B1B" w:rsidP="00B91B1B">
      <w:pPr>
        <w:jc w:val="both"/>
        <w:rPr>
          <w:rFonts w:ascii="Calibri" w:hAnsi="Calibri" w:cs="Calibri"/>
          <w:lang w:val="fr-FR"/>
        </w:rPr>
      </w:pPr>
      <w:r w:rsidRPr="00B91B1B">
        <w:rPr>
          <w:rFonts w:ascii="Calibri" w:hAnsi="Calibri" w:cs="Calibri"/>
          <w:lang w:val="fr-FR"/>
        </w:rPr>
        <w:t>d) Le lieu, le jour et l'heure fixés pour une visite des lieux à l’aéroport concerné pour voir l’emplacement exact du ou des biens à attribuer;</w:t>
      </w:r>
    </w:p>
    <w:p w:rsidR="00B91B1B" w:rsidRPr="00B91B1B" w:rsidRDefault="00B91B1B" w:rsidP="00B91B1B">
      <w:pPr>
        <w:jc w:val="both"/>
        <w:rPr>
          <w:rFonts w:ascii="Calibri" w:hAnsi="Calibri" w:cs="Calibri"/>
          <w:lang w:val="fr-FR"/>
        </w:rPr>
      </w:pPr>
    </w:p>
    <w:p w:rsidR="00B91B1B" w:rsidRPr="00B91B1B" w:rsidRDefault="00B91B1B" w:rsidP="00B91B1B">
      <w:pPr>
        <w:jc w:val="both"/>
        <w:rPr>
          <w:rFonts w:ascii="Calibri" w:hAnsi="Calibri" w:cs="Calibri"/>
          <w:lang w:val="fr-FR"/>
        </w:rPr>
      </w:pPr>
      <w:r w:rsidRPr="00B91B1B">
        <w:rPr>
          <w:rFonts w:ascii="Calibri" w:hAnsi="Calibri" w:cs="Calibri"/>
          <w:lang w:val="fr-FR"/>
        </w:rPr>
        <w:lastRenderedPageBreak/>
        <w:t>e) Le bureau et l’adresse du Concédant où les propositions sont déposées ou adressées ;</w:t>
      </w:r>
    </w:p>
    <w:p w:rsidR="00B91B1B" w:rsidRPr="00B91B1B" w:rsidRDefault="00B91B1B" w:rsidP="00B91B1B">
      <w:pPr>
        <w:jc w:val="both"/>
        <w:rPr>
          <w:rFonts w:ascii="Calibri" w:hAnsi="Calibri" w:cs="Calibri"/>
          <w:lang w:val="fr-FR"/>
        </w:rPr>
      </w:pPr>
    </w:p>
    <w:p w:rsidR="00B91B1B" w:rsidRPr="00B91B1B" w:rsidRDefault="00B91B1B" w:rsidP="00B91B1B">
      <w:pPr>
        <w:jc w:val="both"/>
        <w:rPr>
          <w:rFonts w:ascii="Calibri" w:hAnsi="Calibri" w:cs="Calibri"/>
          <w:lang w:val="fr-FR"/>
        </w:rPr>
      </w:pPr>
      <w:r w:rsidRPr="00B91B1B">
        <w:rPr>
          <w:rFonts w:ascii="Calibri" w:hAnsi="Calibri" w:cs="Calibri"/>
          <w:lang w:val="fr-FR"/>
        </w:rPr>
        <w:t>f) Le lieu, le jour et l'heure fixés pour la tenue de la séance publique d'ouverture des plis, le cas échéant, en précisant que les concurrents peuvent remettre directement leurs plis au président de la Commission des Concessions à l'ouverture de la séance ;</w:t>
      </w:r>
    </w:p>
    <w:p w:rsidR="00B91B1B" w:rsidRPr="00B91B1B" w:rsidRDefault="00B91B1B" w:rsidP="00B91B1B">
      <w:pPr>
        <w:jc w:val="both"/>
        <w:rPr>
          <w:rFonts w:ascii="Calibri" w:hAnsi="Calibri" w:cs="Calibri"/>
          <w:lang w:val="fr-FR"/>
        </w:rPr>
      </w:pPr>
    </w:p>
    <w:p w:rsidR="00B91B1B" w:rsidRPr="00B91B1B" w:rsidRDefault="00B91B1B" w:rsidP="00B91B1B">
      <w:pPr>
        <w:jc w:val="both"/>
        <w:rPr>
          <w:rFonts w:ascii="Calibri" w:hAnsi="Calibri" w:cs="Calibri"/>
          <w:lang w:val="fr-FR"/>
        </w:rPr>
      </w:pPr>
      <w:r w:rsidRPr="00B91B1B">
        <w:rPr>
          <w:rFonts w:ascii="Calibri" w:hAnsi="Calibri" w:cs="Calibri"/>
          <w:lang w:val="fr-FR"/>
        </w:rPr>
        <w:t>g) Les pièces justificatives prévues dans le dossier de demande de propositions commerciales que tout concurrent doit fournir ;</w:t>
      </w:r>
    </w:p>
    <w:p w:rsidR="00B91B1B" w:rsidRPr="00B91B1B" w:rsidRDefault="00B91B1B" w:rsidP="00B91B1B">
      <w:pPr>
        <w:jc w:val="both"/>
        <w:rPr>
          <w:rFonts w:ascii="Calibri" w:hAnsi="Calibri" w:cs="Calibri"/>
          <w:lang w:val="fr-FR"/>
        </w:rPr>
      </w:pPr>
    </w:p>
    <w:p w:rsidR="00B91B1B" w:rsidRPr="00B91B1B" w:rsidRDefault="00B91B1B" w:rsidP="00B91B1B">
      <w:pPr>
        <w:jc w:val="both"/>
        <w:rPr>
          <w:rFonts w:ascii="Calibri" w:hAnsi="Calibri" w:cs="Calibri"/>
          <w:lang w:val="fr-FR"/>
        </w:rPr>
      </w:pPr>
      <w:r w:rsidRPr="00B91B1B">
        <w:rPr>
          <w:rFonts w:ascii="Calibri" w:hAnsi="Calibri" w:cs="Calibri"/>
          <w:lang w:val="fr-FR"/>
        </w:rPr>
        <w:t>h) Le montant en valeur du cautionnement provisoire, le cas échéant ;</w:t>
      </w:r>
    </w:p>
    <w:p w:rsidR="00B91B1B" w:rsidRPr="00B91B1B" w:rsidRDefault="00B91B1B" w:rsidP="00B91B1B">
      <w:pPr>
        <w:jc w:val="both"/>
        <w:rPr>
          <w:rFonts w:ascii="Calibri" w:hAnsi="Calibri" w:cs="Calibri"/>
          <w:lang w:val="fr-FR"/>
        </w:rPr>
      </w:pPr>
    </w:p>
    <w:p w:rsidR="00B91B1B" w:rsidRPr="00B91B1B" w:rsidRDefault="00B91B1B" w:rsidP="00B91B1B">
      <w:pPr>
        <w:jc w:val="both"/>
        <w:rPr>
          <w:rFonts w:ascii="Calibri" w:hAnsi="Calibri" w:cs="Calibri"/>
          <w:lang w:val="fr-FR"/>
        </w:rPr>
      </w:pPr>
      <w:r w:rsidRPr="00B91B1B">
        <w:rPr>
          <w:rFonts w:ascii="Calibri" w:hAnsi="Calibri" w:cs="Calibri"/>
          <w:lang w:val="fr-FR"/>
        </w:rPr>
        <w:t>i) La date de la réunion ou de la visite des lieux que le Concédant envisage d'organiser à l'intention des concurrents, le cas échéant. Etant précisé que cette date doit se situer au cours du deuxième tiers du délai qui court entre la date de publication de l’avis dans le deuxième journal et la date prévue pour l’ouverture des plis ;</w:t>
      </w:r>
    </w:p>
    <w:p w:rsidR="00B91B1B" w:rsidRPr="00B91B1B" w:rsidRDefault="00B91B1B" w:rsidP="00B91B1B">
      <w:pPr>
        <w:jc w:val="both"/>
        <w:rPr>
          <w:rFonts w:ascii="Calibri" w:hAnsi="Calibri" w:cs="Calibri"/>
          <w:lang w:val="fr-FR"/>
        </w:rPr>
      </w:pPr>
    </w:p>
    <w:p w:rsidR="00B91B1B" w:rsidRPr="00B91B1B" w:rsidRDefault="00B91B1B" w:rsidP="00B91B1B">
      <w:pPr>
        <w:widowControl w:val="0"/>
        <w:autoSpaceDE w:val="0"/>
        <w:autoSpaceDN w:val="0"/>
        <w:adjustRightInd w:val="0"/>
        <w:jc w:val="both"/>
        <w:rPr>
          <w:rFonts w:ascii="Calibri" w:hAnsi="Calibri" w:cs="Calibri"/>
          <w:lang w:val="fr-FR"/>
        </w:rPr>
      </w:pPr>
      <w:r w:rsidRPr="00B91B1B">
        <w:rPr>
          <w:rFonts w:ascii="Calibri" w:hAnsi="Calibri" w:cs="Calibri"/>
          <w:sz w:val="20"/>
          <w:szCs w:val="20"/>
          <w:lang w:val="fr-FR"/>
        </w:rPr>
        <w:t xml:space="preserve">j) </w:t>
      </w:r>
      <w:r w:rsidRPr="00B91B1B">
        <w:rPr>
          <w:rFonts w:ascii="Calibri" w:hAnsi="Calibri" w:cs="Calibri"/>
          <w:lang w:val="fr-FR"/>
        </w:rPr>
        <w:t>L’adresse électronique, le cas échéant, du site utilisé pour la publication de l’avis de demande de propositions commerciales ;</w:t>
      </w:r>
    </w:p>
    <w:p w:rsidR="00B91B1B" w:rsidRPr="00B91B1B" w:rsidRDefault="00B91B1B" w:rsidP="00B91B1B">
      <w:pPr>
        <w:jc w:val="both"/>
        <w:rPr>
          <w:rFonts w:ascii="Calibri" w:hAnsi="Calibri" w:cs="Calibri"/>
          <w:lang w:val="fr-FR"/>
        </w:rPr>
      </w:pPr>
    </w:p>
    <w:p w:rsidR="00B91B1B" w:rsidRPr="00B91B1B" w:rsidRDefault="00B91B1B" w:rsidP="00B91B1B">
      <w:pPr>
        <w:widowControl w:val="0"/>
        <w:autoSpaceDE w:val="0"/>
        <w:autoSpaceDN w:val="0"/>
        <w:adjustRightInd w:val="0"/>
        <w:jc w:val="both"/>
        <w:rPr>
          <w:rFonts w:ascii="Calibri" w:hAnsi="Calibri" w:cs="Calibri"/>
          <w:i/>
          <w:iCs/>
          <w:lang w:val="fr-FR"/>
        </w:rPr>
      </w:pPr>
      <w:r w:rsidRPr="00B91B1B">
        <w:rPr>
          <w:rFonts w:ascii="Calibri" w:hAnsi="Calibri" w:cs="Calibri"/>
          <w:lang w:val="fr-FR"/>
        </w:rPr>
        <w:t>k) la référence au journal et au site électronique, le cas échéant, ayant servi à la publication du programme prévisionnel indiquant le lancement de la convention objet de l’avis de demande de propositions commerciales  sauf si la convention envisagée n’est pas prévue par ledit programme.</w:t>
      </w:r>
    </w:p>
    <w:p w:rsidR="00B91B1B" w:rsidRPr="00B91B1B" w:rsidRDefault="00B91B1B" w:rsidP="00B91B1B">
      <w:pPr>
        <w:widowControl w:val="0"/>
        <w:autoSpaceDE w:val="0"/>
        <w:autoSpaceDN w:val="0"/>
        <w:adjustRightInd w:val="0"/>
        <w:jc w:val="both"/>
        <w:rPr>
          <w:rFonts w:ascii="Calibri" w:hAnsi="Calibri" w:cs="Calibri"/>
          <w:lang w:val="fr-FR"/>
        </w:rPr>
      </w:pPr>
    </w:p>
    <w:p w:rsidR="00B91B1B" w:rsidRPr="00B91B1B" w:rsidRDefault="00B91B1B" w:rsidP="00B91B1B">
      <w:pPr>
        <w:spacing w:before="120"/>
        <w:jc w:val="both"/>
        <w:rPr>
          <w:rFonts w:ascii="Calibri" w:hAnsi="Calibri" w:cs="Calibri"/>
          <w:lang w:val="fr-FR"/>
        </w:rPr>
      </w:pPr>
      <w:r w:rsidRPr="00B91B1B">
        <w:rPr>
          <w:rFonts w:ascii="Calibri" w:hAnsi="Calibri" w:cs="Calibri"/>
          <w:lang w:val="fr-FR"/>
        </w:rPr>
        <w:t xml:space="preserve">L’avis d’appel d’offres est publié, </w:t>
      </w:r>
      <w:r w:rsidRPr="00B91B1B">
        <w:rPr>
          <w:rFonts w:ascii="Calibri" w:hAnsi="Calibri" w:cs="Calibri"/>
          <w:bCs/>
          <w:lang w:val="fr-FR"/>
        </w:rPr>
        <w:t>dans la langue de publication du journal</w:t>
      </w:r>
      <w:r w:rsidRPr="00B91B1B">
        <w:rPr>
          <w:rFonts w:ascii="Calibri" w:hAnsi="Calibri" w:cs="Calibri"/>
          <w:lang w:val="fr-FR"/>
        </w:rPr>
        <w:t>, au minimum dans deux journaux à diffusion nationale</w:t>
      </w:r>
      <w:r w:rsidRPr="00B91B1B">
        <w:rPr>
          <w:rFonts w:ascii="Calibri" w:hAnsi="Calibri" w:cs="Calibri"/>
          <w:szCs w:val="28"/>
          <w:lang w:val="fr-FR"/>
        </w:rPr>
        <w:t xml:space="preserve"> choisis par l’Office National des Aéroports, </w:t>
      </w:r>
      <w:r w:rsidRPr="00B91B1B">
        <w:rPr>
          <w:rFonts w:ascii="Calibri" w:hAnsi="Calibri" w:cs="Calibri"/>
          <w:lang w:val="fr-FR"/>
        </w:rPr>
        <w:t xml:space="preserve">dont l’un de ces journaux doit être en langue arabe et l’autre en langue étrangère et dans le portail de l’ONDA. Il peut être parallèlement porté à la connaissance des concurrents éventuels et, le cas échéant, des organismes professionnels, par publication dans le bulletin officiel des annonces légales, judiciaires et administratives, par des publications spécialisées ou par tout autre moyen de publicité </w:t>
      </w:r>
      <w:r w:rsidRPr="00B91B1B">
        <w:rPr>
          <w:rFonts w:ascii="Calibri" w:hAnsi="Calibri" w:cs="Calibri"/>
          <w:bCs/>
          <w:lang w:val="fr-FR"/>
        </w:rPr>
        <w:t>notamment par voie électronique</w:t>
      </w:r>
      <w:r w:rsidRPr="00B91B1B">
        <w:rPr>
          <w:rFonts w:ascii="Calibri" w:hAnsi="Calibri" w:cs="Calibri"/>
          <w:lang w:val="fr-FR"/>
        </w:rPr>
        <w:t>.</w:t>
      </w:r>
    </w:p>
    <w:p w:rsidR="004652DF" w:rsidRPr="00D73FC8" w:rsidRDefault="004652DF" w:rsidP="00B91B1B">
      <w:pPr>
        <w:pStyle w:val="Titre1"/>
        <w:rPr>
          <w:lang w:val="fr-FR"/>
        </w:rPr>
      </w:pPr>
    </w:p>
    <w:sectPr w:rsidR="004652DF" w:rsidRPr="00D73FC8">
      <w:headerReference w:type="default" r:id="rId7"/>
      <w:footerReference w:type="default" r:id="rId8"/>
      <w:pgSz w:w="11906" w:h="16838"/>
      <w:pgMar w:top="306" w:right="1417" w:bottom="1417" w:left="1417" w:header="708" w:footer="3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8DA" w:rsidRDefault="006148DA">
      <w:r>
        <w:separator/>
      </w:r>
    </w:p>
  </w:endnote>
  <w:endnote w:type="continuationSeparator" w:id="0">
    <w:p w:rsidR="006148DA" w:rsidRDefault="006148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39" w:rsidRDefault="00803F39">
    <w:pPr>
      <w:jc w:val="right"/>
      <w:rPr>
        <w:b/>
        <w:bCs/>
      </w:rPr>
    </w:pPr>
  </w:p>
  <w:p w:rsidR="00803F39" w:rsidRDefault="00803F39">
    <w:pPr>
      <w:rPr>
        <w:rFonts w:ascii="Arial" w:hAnsi="Arial" w:cs="Arial"/>
        <w:color w:val="999999"/>
        <w:sz w:val="20"/>
        <w:szCs w:val="20"/>
      </w:rPr>
    </w:pPr>
    <w:r>
      <w:rPr>
        <w:rFonts w:ascii="Arial" w:hAnsi="Arial" w:cs="Arial" w:hint="cs"/>
        <w:noProof/>
        <w:color w:val="999999"/>
        <w:sz w:val="20"/>
        <w:szCs w:val="20"/>
        <w:rtl/>
      </w:rPr>
      <w:pict>
        <v:line id="_x0000_s2050" style="position:absolute;z-index:251657728" from="0,10.6pt" to="459pt,10.6pt" strokecolor="#036" strokeweight="1.75pt"/>
      </w:pict>
    </w:r>
  </w:p>
  <w:p w:rsidR="00803F39" w:rsidRDefault="00803F39">
    <w:pPr>
      <w:rPr>
        <w:rFonts w:ascii="Arial" w:hAnsi="Arial" w:cs="Arial" w:hint="cs"/>
        <w:color w:val="999999"/>
        <w:sz w:val="20"/>
        <w:szCs w:val="20"/>
        <w:rtl/>
      </w:rPr>
    </w:pPr>
  </w:p>
  <w:p w:rsidR="00803F39" w:rsidRDefault="00803F39">
    <w:pPr>
      <w:jc w:val="center"/>
      <w:rPr>
        <w:rFonts w:ascii="Arial" w:hAnsi="Arial" w:cs="Arial" w:hint="cs"/>
        <w:color w:val="999999"/>
        <w:sz w:val="18"/>
        <w:szCs w:val="18"/>
        <w:rtl/>
      </w:rPr>
    </w:pPr>
    <w:r>
      <w:rPr>
        <w:rFonts w:ascii="Arial" w:hAnsi="Arial" w:cs="Arial" w:hint="cs"/>
        <w:color w:val="999999"/>
        <w:sz w:val="18"/>
        <w:szCs w:val="18"/>
        <w:rtl/>
      </w:rPr>
      <w:t>المكتب الوطني للمطارات</w:t>
    </w:r>
    <w:r>
      <w:rPr>
        <w:rFonts w:ascii="Arial" w:hAnsi="Arial" w:cs="Arial" w:hint="cs"/>
        <w:color w:val="999999"/>
        <w:sz w:val="18"/>
        <w:szCs w:val="18"/>
        <w:rtl/>
        <w:lang w:bidi="ar-MA"/>
      </w:rPr>
      <w:t>-</w:t>
    </w:r>
    <w:r>
      <w:rPr>
        <w:rFonts w:ascii="Arial" w:hAnsi="Arial" w:cs="Arial" w:hint="cs"/>
        <w:color w:val="999999"/>
        <w:sz w:val="18"/>
        <w:szCs w:val="18"/>
        <w:rtl/>
      </w:rPr>
      <w:t xml:space="preserve"> -النواصر-المغرب-الهاتف : 63-78-43-022 الفاكس : 33-79-43-022</w:t>
    </w:r>
  </w:p>
  <w:p w:rsidR="00803F39" w:rsidRDefault="00803F39">
    <w:pPr>
      <w:jc w:val="center"/>
      <w:rPr>
        <w:rFonts w:ascii="Arial" w:hAnsi="Arial" w:cs="Arial" w:hint="cs"/>
        <w:color w:val="999999"/>
        <w:sz w:val="18"/>
        <w:szCs w:val="18"/>
        <w:rtl/>
      </w:rPr>
    </w:pPr>
    <w:r>
      <w:rPr>
        <w:rFonts w:ascii="Arial" w:hAnsi="Arial" w:cs="Arial"/>
        <w:color w:val="999999"/>
        <w:sz w:val="18"/>
        <w:szCs w:val="18"/>
      </w:rPr>
      <w:t>Office National Des Aéroports – Nouaceur – Maroc- Tél. : 022-43-78-63 – Fax : 022-43-79-33</w:t>
    </w:r>
  </w:p>
  <w:p w:rsidR="00803F39" w:rsidRDefault="00803F39">
    <w:pPr>
      <w:jc w:val="center"/>
      <w:rPr>
        <w:color w:val="999999"/>
        <w:sz w:val="18"/>
        <w:szCs w:val="18"/>
      </w:rPr>
    </w:pPr>
    <w:r>
      <w:rPr>
        <w:rFonts w:ascii="Arial" w:hAnsi="Arial" w:cs="Arial"/>
        <w:color w:val="999999"/>
        <w:sz w:val="18"/>
        <w:szCs w:val="18"/>
      </w:rPr>
      <w:t>www.onda.ma</w:t>
    </w:r>
  </w:p>
  <w:p w:rsidR="00803F39" w:rsidRDefault="00803F39">
    <w:pPr>
      <w:jc w:val="center"/>
      <w:rPr>
        <w:sz w:val="18"/>
        <w:szCs w:val="18"/>
      </w:rPr>
    </w:pPr>
  </w:p>
  <w:p w:rsidR="00803F39" w:rsidRDefault="00803F39">
    <w:pPr>
      <w:jc w:val="center"/>
      <w:rPr>
        <w:sz w:val="22"/>
        <w:szCs w:val="22"/>
      </w:rPr>
    </w:pPr>
    <w:smartTag w:uri="urn:schemas-microsoft-com:office:smarttags" w:element="place">
      <w:smartTag w:uri="urn:schemas-microsoft-com:office:smarttags" w:element="PlaceName">
        <w:r>
          <w:rPr>
            <w:rFonts w:ascii="Arial" w:hAnsi="Arial" w:cs="Arial"/>
            <w:b/>
            <w:bCs/>
            <w:sz w:val="22"/>
            <w:szCs w:val="22"/>
            <w:shd w:val="clear" w:color="auto" w:fill="003366"/>
          </w:rPr>
          <w:t>Call</w:t>
        </w:r>
      </w:smartTag>
      <w:r>
        <w:rPr>
          <w:rFonts w:ascii="Arial" w:hAnsi="Arial" w:cs="Arial"/>
          <w:b/>
          <w:bCs/>
          <w:sz w:val="22"/>
          <w:szCs w:val="22"/>
          <w:shd w:val="clear" w:color="auto" w:fill="003366"/>
        </w:rPr>
        <w:t xml:space="preserve"> </w:t>
      </w:r>
      <w:smartTag w:uri="urn:schemas-microsoft-com:office:smarttags" w:element="PlaceType">
        <w:r>
          <w:rPr>
            <w:rFonts w:ascii="Arial" w:hAnsi="Arial" w:cs="Arial"/>
            <w:b/>
            <w:bCs/>
            <w:sz w:val="22"/>
            <w:szCs w:val="22"/>
            <w:shd w:val="clear" w:color="auto" w:fill="003366"/>
          </w:rPr>
          <w:t>Center</w:t>
        </w:r>
      </w:smartTag>
    </w:smartTag>
    <w:r>
      <w:rPr>
        <w:rFonts w:ascii="Arial" w:hAnsi="Arial" w:cs="Arial"/>
        <w:b/>
        <w:bCs/>
        <w:sz w:val="22"/>
        <w:szCs w:val="22"/>
      </w:rPr>
      <w:t xml:space="preserve"> </w:t>
    </w:r>
    <w:r>
      <w:rPr>
        <w:rFonts w:ascii="Arial" w:hAnsi="Arial" w:cs="Arial"/>
        <w:b/>
        <w:bCs/>
        <w:color w:val="FFFFFF"/>
        <w:sz w:val="22"/>
        <w:szCs w:val="22"/>
        <w:shd w:val="clear" w:color="auto" w:fill="C0C0C0"/>
      </w:rPr>
      <w:t>081 000 224</w:t>
    </w:r>
  </w:p>
  <w:p w:rsidR="00803F39" w:rsidRDefault="00803F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8DA" w:rsidRDefault="006148DA">
      <w:r>
        <w:separator/>
      </w:r>
    </w:p>
  </w:footnote>
  <w:footnote w:type="continuationSeparator" w:id="0">
    <w:p w:rsidR="006148DA" w:rsidRDefault="00614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39" w:rsidRDefault="007A7B7C">
    <w:pPr>
      <w:pStyle w:val="En-tte"/>
    </w:pPr>
    <w:r>
      <w:rPr>
        <w:noProof/>
        <w:lang w:val="fr-FR"/>
      </w:rPr>
      <w:drawing>
        <wp:inline distT="0" distB="0" distL="0" distR="0">
          <wp:extent cx="5715000" cy="508000"/>
          <wp:effectExtent l="19050" t="0" r="0" b="0"/>
          <wp:docPr id="1" name="Image 1" descr="Logo ONDA Modifi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DA Modifié"/>
                  <pic:cNvPicPr>
                    <a:picLocks noChangeAspect="1" noChangeArrowheads="1"/>
                  </pic:cNvPicPr>
                </pic:nvPicPr>
                <pic:blipFill>
                  <a:blip r:embed="rId1"/>
                  <a:srcRect/>
                  <a:stretch>
                    <a:fillRect/>
                  </a:stretch>
                </pic:blipFill>
                <pic:spPr bwMode="auto">
                  <a:xfrm>
                    <a:off x="0" y="0"/>
                    <a:ext cx="5715000" cy="508000"/>
                  </a:xfrm>
                  <a:prstGeom prst="rect">
                    <a:avLst/>
                  </a:prstGeom>
                  <a:noFill/>
                  <a:ln w="9525">
                    <a:noFill/>
                    <a:miter lim="800000"/>
                    <a:headEnd/>
                    <a:tailEnd/>
                  </a:ln>
                </pic:spPr>
              </pic:pic>
            </a:graphicData>
          </a:graphic>
        </wp:inline>
      </w:drawing>
    </w:r>
  </w:p>
  <w:p w:rsidR="00803F39" w:rsidRDefault="00803F39">
    <w:pPr>
      <w:pStyle w:val="En-tte"/>
      <w:jc w:val="center"/>
      <w:rPr>
        <w:sz w:val="28"/>
        <w:szCs w:val="28"/>
      </w:rPr>
    </w:pPr>
  </w:p>
  <w:p w:rsidR="00803F39" w:rsidRDefault="00803F3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A20"/>
    <w:multiLevelType w:val="hybridMultilevel"/>
    <w:tmpl w:val="E5FEFCA8"/>
    <w:lvl w:ilvl="0" w:tplc="1BA4A14E">
      <w:start w:val="1"/>
      <w:numFmt w:val="bullet"/>
      <w:lvlText w:val=""/>
      <w:lvlJc w:val="left"/>
      <w:pPr>
        <w:tabs>
          <w:tab w:val="num" w:pos="720"/>
        </w:tabs>
        <w:ind w:left="720" w:hanging="360"/>
      </w:pPr>
      <w:rPr>
        <w:rFonts w:ascii="Wingdings" w:hAnsi="Wingdings"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3421E4"/>
    <w:multiLevelType w:val="hybridMultilevel"/>
    <w:tmpl w:val="A78C4212"/>
    <w:lvl w:ilvl="0" w:tplc="F5DED124">
      <w:start w:val="1"/>
      <w:numFmt w:val="bullet"/>
      <w:lvlText w:val=""/>
      <w:lvlJc w:val="left"/>
      <w:pPr>
        <w:tabs>
          <w:tab w:val="num" w:pos="720"/>
        </w:tabs>
        <w:ind w:left="720" w:hanging="360"/>
      </w:pPr>
      <w:rPr>
        <w:rFonts w:ascii="Wingdings" w:hAnsi="Wingdings" w:hint="default"/>
        <w:b w:val="0"/>
        <w:i w:val="0"/>
        <w:color w:val="000080"/>
        <w:u w:val="no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33D631F"/>
    <w:multiLevelType w:val="hybridMultilevel"/>
    <w:tmpl w:val="D78808B4"/>
    <w:lvl w:ilvl="0" w:tplc="98C895EA">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1F63900"/>
    <w:multiLevelType w:val="hybridMultilevel"/>
    <w:tmpl w:val="CB70120E"/>
    <w:lvl w:ilvl="0" w:tplc="F5DED124">
      <w:start w:val="1"/>
      <w:numFmt w:val="bullet"/>
      <w:lvlText w:val=""/>
      <w:lvlJc w:val="left"/>
      <w:pPr>
        <w:tabs>
          <w:tab w:val="num" w:pos="1620"/>
        </w:tabs>
        <w:ind w:left="1620" w:hanging="360"/>
      </w:pPr>
      <w:rPr>
        <w:rFonts w:ascii="Wingdings" w:hAnsi="Wingdings" w:hint="default"/>
        <w:b w:val="0"/>
        <w:i w:val="0"/>
        <w:color w:val="000080"/>
        <w:u w:val="none"/>
      </w:rPr>
    </w:lvl>
    <w:lvl w:ilvl="1" w:tplc="040C0003" w:tentative="1">
      <w:start w:val="1"/>
      <w:numFmt w:val="bullet"/>
      <w:lvlText w:val="o"/>
      <w:lvlJc w:val="left"/>
      <w:pPr>
        <w:tabs>
          <w:tab w:val="num" w:pos="2340"/>
        </w:tabs>
        <w:ind w:left="2340" w:hanging="360"/>
      </w:pPr>
      <w:rPr>
        <w:rFonts w:ascii="Courier New" w:hAnsi="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4">
    <w:nsid w:val="19E640DD"/>
    <w:multiLevelType w:val="hybridMultilevel"/>
    <w:tmpl w:val="5C2A2C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F6C78C1"/>
    <w:multiLevelType w:val="hybridMultilevel"/>
    <w:tmpl w:val="D12AD6BC"/>
    <w:lvl w:ilvl="0" w:tplc="224413BA">
      <w:start w:val="1"/>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45453D"/>
    <w:multiLevelType w:val="hybridMultilevel"/>
    <w:tmpl w:val="E5FEFCA8"/>
    <w:lvl w:ilvl="0" w:tplc="040C000F">
      <w:start w:val="1"/>
      <w:numFmt w:val="decimal"/>
      <w:lvlText w:val="%1."/>
      <w:lvlJc w:val="left"/>
      <w:pPr>
        <w:tabs>
          <w:tab w:val="num" w:pos="720"/>
        </w:tabs>
        <w:ind w:left="720" w:hanging="360"/>
      </w:pPr>
      <w:rPr>
        <w:rFonts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81D70C0"/>
    <w:multiLevelType w:val="hybridMultilevel"/>
    <w:tmpl w:val="8606F9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FBA7B39"/>
    <w:multiLevelType w:val="hybridMultilevel"/>
    <w:tmpl w:val="07B04FC4"/>
    <w:lvl w:ilvl="0" w:tplc="040C000F">
      <w:start w:val="1"/>
      <w:numFmt w:val="decimal"/>
      <w:lvlText w:val="%1."/>
      <w:lvlJc w:val="left"/>
      <w:pPr>
        <w:tabs>
          <w:tab w:val="num" w:pos="720"/>
        </w:tabs>
        <w:ind w:left="720" w:hanging="360"/>
      </w:pPr>
    </w:lvl>
    <w:lvl w:ilvl="1" w:tplc="CBCA911C">
      <w:start w:val="13"/>
      <w:numFmt w:val="bullet"/>
      <w:lvlText w:val=""/>
      <w:lvlJc w:val="left"/>
      <w:pPr>
        <w:tabs>
          <w:tab w:val="num" w:pos="1440"/>
        </w:tabs>
        <w:ind w:left="1440" w:hanging="360"/>
      </w:pPr>
      <w:rPr>
        <w:rFonts w:ascii="Wingdings" w:eastAsia="Times New Roman" w:hAnsi="Wingdings"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AA125D8"/>
    <w:multiLevelType w:val="hybridMultilevel"/>
    <w:tmpl w:val="BD52A98A"/>
    <w:lvl w:ilvl="0" w:tplc="F5DED124">
      <w:start w:val="1"/>
      <w:numFmt w:val="bullet"/>
      <w:lvlText w:val=""/>
      <w:lvlJc w:val="left"/>
      <w:pPr>
        <w:tabs>
          <w:tab w:val="num" w:pos="1332"/>
        </w:tabs>
        <w:ind w:left="1332" w:hanging="360"/>
      </w:pPr>
      <w:rPr>
        <w:rFonts w:ascii="Wingdings" w:hAnsi="Wingdings" w:hint="default"/>
        <w:b w:val="0"/>
        <w:i w:val="0"/>
        <w:color w:val="000080"/>
        <w:u w:val="no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C753CA8"/>
    <w:multiLevelType w:val="hybridMultilevel"/>
    <w:tmpl w:val="9136526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F5D44DC"/>
    <w:multiLevelType w:val="hybridMultilevel"/>
    <w:tmpl w:val="BD52A98A"/>
    <w:lvl w:ilvl="0" w:tplc="1BA4A14E">
      <w:start w:val="1"/>
      <w:numFmt w:val="bullet"/>
      <w:lvlText w:val=""/>
      <w:lvlJc w:val="left"/>
      <w:pPr>
        <w:tabs>
          <w:tab w:val="num" w:pos="1332"/>
        </w:tabs>
        <w:ind w:left="1332" w:hanging="360"/>
      </w:pPr>
      <w:rPr>
        <w:rFonts w:ascii="Wingdings" w:hAnsi="Wingdings" w:hint="default"/>
        <w:color w:val="0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BDE0501"/>
    <w:multiLevelType w:val="hybridMultilevel"/>
    <w:tmpl w:val="2BAA7E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4A947DF"/>
    <w:multiLevelType w:val="hybridMultilevel"/>
    <w:tmpl w:val="44F4DA2E"/>
    <w:lvl w:ilvl="0" w:tplc="B2CA93AE">
      <w:numFmt w:val="bullet"/>
      <w:lvlText w:val="-"/>
      <w:lvlJc w:val="left"/>
      <w:pPr>
        <w:tabs>
          <w:tab w:val="num" w:pos="720"/>
        </w:tabs>
        <w:ind w:left="720" w:hanging="360"/>
      </w:pPr>
      <w:rPr>
        <w:rFonts w:ascii="Times New Roman" w:eastAsia="Times New Roman" w:hAnsi="Times New Roman" w:cs="Times New Roman" w:hint="default"/>
      </w:rPr>
    </w:lvl>
    <w:lvl w:ilvl="1" w:tplc="A9F46F8A">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71E0F1C"/>
    <w:multiLevelType w:val="hybridMultilevel"/>
    <w:tmpl w:val="CD6074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8C57FF7"/>
    <w:multiLevelType w:val="hybridMultilevel"/>
    <w:tmpl w:val="144C2E7A"/>
    <w:lvl w:ilvl="0" w:tplc="1BA4A14E">
      <w:start w:val="1"/>
      <w:numFmt w:val="bullet"/>
      <w:lvlText w:val=""/>
      <w:lvlJc w:val="left"/>
      <w:pPr>
        <w:tabs>
          <w:tab w:val="num" w:pos="1332"/>
        </w:tabs>
        <w:ind w:left="1332" w:hanging="360"/>
      </w:pPr>
      <w:rPr>
        <w:rFonts w:ascii="Wingdings" w:hAnsi="Wingdings" w:hint="default"/>
        <w:color w:val="0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6"/>
  </w:num>
  <w:num w:numId="4">
    <w:abstractNumId w:val="0"/>
  </w:num>
  <w:num w:numId="5">
    <w:abstractNumId w:val="11"/>
  </w:num>
  <w:num w:numId="6">
    <w:abstractNumId w:val="9"/>
  </w:num>
  <w:num w:numId="7">
    <w:abstractNumId w:val="1"/>
  </w:num>
  <w:num w:numId="8">
    <w:abstractNumId w:val="3"/>
  </w:num>
  <w:num w:numId="9">
    <w:abstractNumId w:val="10"/>
  </w:num>
  <w:num w:numId="10">
    <w:abstractNumId w:val="4"/>
  </w:num>
  <w:num w:numId="11">
    <w:abstractNumId w:val="7"/>
  </w:num>
  <w:num w:numId="12">
    <w:abstractNumId w:val="14"/>
  </w:num>
  <w:num w:numId="13">
    <w:abstractNumId w:val="13"/>
  </w:num>
  <w:num w:numId="14">
    <w:abstractNumId w:val="5"/>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E0E71"/>
    <w:rsid w:val="00022BC0"/>
    <w:rsid w:val="000350A4"/>
    <w:rsid w:val="0004753A"/>
    <w:rsid w:val="00095F8F"/>
    <w:rsid w:val="000B35D8"/>
    <w:rsid w:val="000C125F"/>
    <w:rsid w:val="000E0E71"/>
    <w:rsid w:val="00123D9B"/>
    <w:rsid w:val="00173285"/>
    <w:rsid w:val="001D16E9"/>
    <w:rsid w:val="00202E77"/>
    <w:rsid w:val="00246313"/>
    <w:rsid w:val="002766A8"/>
    <w:rsid w:val="002B47F5"/>
    <w:rsid w:val="002C1281"/>
    <w:rsid w:val="002E5465"/>
    <w:rsid w:val="002F530C"/>
    <w:rsid w:val="00345F3E"/>
    <w:rsid w:val="003A78C0"/>
    <w:rsid w:val="003E3C35"/>
    <w:rsid w:val="004652DF"/>
    <w:rsid w:val="004714F5"/>
    <w:rsid w:val="00486237"/>
    <w:rsid w:val="004A058B"/>
    <w:rsid w:val="004B36E6"/>
    <w:rsid w:val="004D6B73"/>
    <w:rsid w:val="004E02F8"/>
    <w:rsid w:val="00563A29"/>
    <w:rsid w:val="00570D61"/>
    <w:rsid w:val="0058482A"/>
    <w:rsid w:val="005D6FB0"/>
    <w:rsid w:val="006148DA"/>
    <w:rsid w:val="00677358"/>
    <w:rsid w:val="006A2334"/>
    <w:rsid w:val="006E3ED6"/>
    <w:rsid w:val="00725459"/>
    <w:rsid w:val="00787044"/>
    <w:rsid w:val="00793D7A"/>
    <w:rsid w:val="007A7B7C"/>
    <w:rsid w:val="00803F39"/>
    <w:rsid w:val="0084526D"/>
    <w:rsid w:val="008918EF"/>
    <w:rsid w:val="0093045D"/>
    <w:rsid w:val="0096317D"/>
    <w:rsid w:val="009942FE"/>
    <w:rsid w:val="009A1237"/>
    <w:rsid w:val="009D65C0"/>
    <w:rsid w:val="00A05770"/>
    <w:rsid w:val="00AD4FD5"/>
    <w:rsid w:val="00B91B1B"/>
    <w:rsid w:val="00BF79A4"/>
    <w:rsid w:val="00C16DA6"/>
    <w:rsid w:val="00C25B47"/>
    <w:rsid w:val="00D73FC8"/>
    <w:rsid w:val="00D92F6B"/>
    <w:rsid w:val="00DC09E0"/>
    <w:rsid w:val="00DC6699"/>
    <w:rsid w:val="00E151D3"/>
    <w:rsid w:val="00E47A30"/>
    <w:rsid w:val="00E91405"/>
    <w:rsid w:val="00ED6F06"/>
    <w:rsid w:val="00F2385D"/>
    <w:rsid w:val="00F6407F"/>
    <w:rsid w:val="00F86909"/>
    <w:rsid w:val="00FC4D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Titre1">
    <w:name w:val="heading 1"/>
    <w:basedOn w:val="Normal"/>
    <w:next w:val="Normal"/>
    <w:link w:val="Titre1Car"/>
    <w:qFormat/>
    <w:rsid w:val="007A7B7C"/>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qFormat/>
    <w:pPr>
      <w:keepNext/>
      <w:jc w:val="both"/>
      <w:outlineLvl w:val="1"/>
    </w:pPr>
    <w:rPr>
      <w:rFonts w:ascii="Arial Narrow" w:hAnsi="Arial Narrow" w:cs="Courier New"/>
      <w:b/>
      <w:bCs/>
      <w:sz w:val="28"/>
      <w:szCs w:val="28"/>
      <w:lang w:val="fr-FR"/>
    </w:rPr>
  </w:style>
  <w:style w:type="paragraph" w:styleId="Titre3">
    <w:name w:val="heading 3"/>
    <w:basedOn w:val="Normal"/>
    <w:next w:val="Normal"/>
    <w:qFormat/>
    <w:pPr>
      <w:keepNext/>
      <w:outlineLvl w:val="2"/>
    </w:pPr>
    <w:rPr>
      <w:rFonts w:ascii="Book Antiqua" w:hAnsi="Book Antiqua" w:cs="Arial"/>
      <w:b/>
      <w:bCs/>
      <w:color w:val="000080"/>
      <w:sz w:val="28"/>
      <w:szCs w:val="28"/>
      <w:lang w:val="fr-FR"/>
    </w:rPr>
  </w:style>
  <w:style w:type="paragraph" w:styleId="Titre4">
    <w:name w:val="heading 4"/>
    <w:basedOn w:val="Normal"/>
    <w:next w:val="Normal"/>
    <w:qFormat/>
    <w:pPr>
      <w:keepNext/>
      <w:jc w:val="center"/>
      <w:outlineLvl w:val="3"/>
    </w:pPr>
    <w:rPr>
      <w:rFonts w:ascii="Arial Narrow" w:hAnsi="Arial Narrow"/>
      <w:b/>
      <w:bCs/>
      <w:color w:val="000080"/>
      <w:lang w:val="fr-FR"/>
    </w:rPr>
  </w:style>
  <w:style w:type="paragraph" w:styleId="Titre5">
    <w:name w:val="heading 5"/>
    <w:basedOn w:val="Normal"/>
    <w:next w:val="Normal"/>
    <w:qFormat/>
    <w:pPr>
      <w:keepNext/>
      <w:jc w:val="both"/>
      <w:outlineLvl w:val="4"/>
    </w:pPr>
    <w:rPr>
      <w:rFonts w:ascii="Arial Narrow" w:hAnsi="Arial Narrow" w:cs="Courier New"/>
      <w:b/>
      <w:bCs/>
      <w:sz w:val="22"/>
      <w:szCs w:val="22"/>
      <w:lang w:val="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2">
    <w:name w:val="Body Text 2"/>
    <w:basedOn w:val="Normal"/>
    <w:pPr>
      <w:jc w:val="center"/>
    </w:pPr>
    <w:rPr>
      <w:rFonts w:ascii="Book Antiqua" w:hAnsi="Book Antiqua"/>
      <w:b/>
      <w:bCs/>
      <w:sz w:val="32"/>
      <w:szCs w:val="32"/>
      <w:lang w:val="fr-FR"/>
    </w:rPr>
  </w:style>
  <w:style w:type="paragraph" w:styleId="Corpsdetexte">
    <w:name w:val="Body Text"/>
    <w:basedOn w:val="Normal"/>
    <w:pPr>
      <w:jc w:val="both"/>
    </w:pPr>
    <w:rPr>
      <w:rFonts w:ascii="Book Antiqua" w:hAnsi="Book Antiqua"/>
      <w:color w:val="000000"/>
      <w:lang w:val="fr-FR"/>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qFormat/>
    <w:pPr>
      <w:jc w:val="center"/>
    </w:pPr>
    <w:rPr>
      <w:rFonts w:ascii="Book Antiqua" w:hAnsi="Book Antiqua" w:cs="Arial"/>
      <w:b/>
      <w:bCs/>
      <w:color w:val="000080"/>
      <w:sz w:val="32"/>
      <w:szCs w:val="32"/>
      <w:lang w:val="fr-FR"/>
    </w:rPr>
  </w:style>
  <w:style w:type="paragraph" w:styleId="Retraitcorpsdetexte">
    <w:name w:val="Body Text Indent"/>
    <w:basedOn w:val="Normal"/>
    <w:pPr>
      <w:tabs>
        <w:tab w:val="left" w:pos="1260"/>
      </w:tabs>
      <w:ind w:left="1260"/>
    </w:pPr>
    <w:rPr>
      <w:rFonts w:ascii="Book Antiqua" w:hAnsi="Book Antiqua"/>
      <w:lang w:val="fr-FR"/>
    </w:rPr>
  </w:style>
  <w:style w:type="character" w:styleId="Lienhypertexte">
    <w:name w:val="Hyperlink"/>
    <w:basedOn w:val="Policepardfaut"/>
    <w:rsid w:val="002766A8"/>
    <w:rPr>
      <w:color w:val="0000FF"/>
      <w:u w:val="single"/>
    </w:rPr>
  </w:style>
  <w:style w:type="character" w:customStyle="1" w:styleId="Titre1Car">
    <w:name w:val="Titre 1 Car"/>
    <w:basedOn w:val="Policepardfaut"/>
    <w:link w:val="Titre1"/>
    <w:rsid w:val="007A7B7C"/>
    <w:rPr>
      <w:rFonts w:asciiTheme="majorHAnsi" w:eastAsiaTheme="majorEastAsia" w:hAnsiTheme="majorHAnsi" w:cstheme="majorBidi"/>
      <w:b/>
      <w:bCs/>
      <w:kern w:val="32"/>
      <w:sz w:val="32"/>
      <w:szCs w:val="32"/>
      <w:lang w:val="en-GB"/>
    </w:rPr>
  </w:style>
  <w:style w:type="paragraph" w:styleId="Textedebulles">
    <w:name w:val="Balloon Text"/>
    <w:basedOn w:val="Normal"/>
    <w:link w:val="TextedebullesCar"/>
    <w:rsid w:val="00D73FC8"/>
    <w:rPr>
      <w:rFonts w:ascii="Tahoma" w:hAnsi="Tahoma" w:cs="Tahoma"/>
      <w:sz w:val="16"/>
      <w:szCs w:val="16"/>
    </w:rPr>
  </w:style>
  <w:style w:type="character" w:customStyle="1" w:styleId="TextedebullesCar">
    <w:name w:val="Texte de bulles Car"/>
    <w:basedOn w:val="Policepardfaut"/>
    <w:link w:val="Textedebulles"/>
    <w:rsid w:val="00D73FC8"/>
    <w:rPr>
      <w:rFonts w:ascii="Tahoma" w:hAnsi="Tahoma" w:cs="Tahoma"/>
      <w:sz w:val="16"/>
      <w:szCs w:val="16"/>
      <w:lang w:val="en-GB"/>
    </w:rPr>
  </w:style>
  <w:style w:type="paragraph" w:customStyle="1" w:styleId="Retraitcorpsdetexte21">
    <w:name w:val="Retrait corps de texte 21"/>
    <w:basedOn w:val="Normal"/>
    <w:rsid w:val="006A2334"/>
    <w:pPr>
      <w:spacing w:before="120" w:after="60"/>
      <w:ind w:left="1276" w:hanging="1276"/>
      <w:jc w:val="both"/>
    </w:pPr>
    <w:rPr>
      <w:rFonts w:ascii="Arial" w:hAnsi="Arial"/>
      <w:b/>
      <w:sz w:val="20"/>
      <w:szCs w:val="20"/>
      <w:u w:val="single"/>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4262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Programme visite royale</vt:lpstr>
    </vt:vector>
  </TitlesOfParts>
  <Company>onda</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visite royale</dc:title>
  <dc:subject/>
  <dc:creator>z.ouldelmaalem</dc:creator>
  <cp:keywords/>
  <dc:description/>
  <cp:lastModifiedBy>j.bekkali</cp:lastModifiedBy>
  <cp:revision>2</cp:revision>
  <cp:lastPrinted>2007-03-20T16:13:00Z</cp:lastPrinted>
  <dcterms:created xsi:type="dcterms:W3CDTF">2013-08-01T10:00:00Z</dcterms:created>
  <dcterms:modified xsi:type="dcterms:W3CDTF">2013-08-01T10:00:00Z</dcterms:modified>
</cp:coreProperties>
</file>